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0D7807" w:rsidRDefault="005C7681" w:rsidP="005C7681">
      <w:pPr>
        <w:rPr>
          <w:rFonts w:ascii="Inter 28pt" w:hAnsi="Inter 28pt"/>
        </w:rPr>
        <w:sectPr w:rsidR="005C7681" w:rsidRPr="000D7807" w:rsidSect="001421EB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3602A59F" w14:textId="77777777" w:rsidR="003E4A56" w:rsidRPr="000D7807" w:rsidRDefault="003E4A56" w:rsidP="00C83643">
      <w:pPr>
        <w:spacing w:line="276" w:lineRule="auto"/>
        <w:rPr>
          <w:rFonts w:ascii="Inter 28pt" w:hAnsi="Inter 28pt" w:cs="Arial"/>
          <w:sz w:val="24"/>
          <w:szCs w:val="24"/>
        </w:rPr>
      </w:pPr>
    </w:p>
    <w:p w14:paraId="5B0A717B" w14:textId="33205DB5" w:rsidR="00C83643" w:rsidRPr="000D7807" w:rsidRDefault="00724DFA" w:rsidP="00C83643">
      <w:pPr>
        <w:spacing w:line="276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Ponto de venda único: aconselhamento personalizado e uma gama completa de soluções</w:t>
      </w:r>
    </w:p>
    <w:p w14:paraId="3AB06E79" w14:textId="27998876" w:rsidR="00C83643" w:rsidRPr="000D7807" w:rsidRDefault="0073418B" w:rsidP="6091D89C">
      <w:pPr>
        <w:spacing w:line="276" w:lineRule="auto"/>
        <w:rPr>
          <w:rFonts w:ascii="Inter 28pt" w:hAnsi="Inter 28pt" w:cs="Arial"/>
          <w:b/>
          <w:bCs/>
          <w:sz w:val="28"/>
          <w:szCs w:val="28"/>
        </w:rPr>
      </w:pPr>
      <w:r>
        <w:rPr>
          <w:rFonts w:ascii="Inter 28pt" w:hAnsi="Inter 28pt"/>
          <w:b/>
          <w:sz w:val="28"/>
        </w:rPr>
        <w:t>DAF –</w:t>
      </w:r>
      <w:r w:rsidR="005E1579">
        <w:rPr>
          <w:rFonts w:ascii="Inter 28pt" w:hAnsi="Inter 28pt"/>
          <w:b/>
          <w:sz w:val="28"/>
        </w:rPr>
        <w:t xml:space="preserve"> </w:t>
      </w:r>
      <w:r>
        <w:rPr>
          <w:rFonts w:ascii="Inter 28pt" w:hAnsi="Inter 28pt"/>
          <w:b/>
          <w:sz w:val="28"/>
        </w:rPr>
        <w:t xml:space="preserve"> O parceiro perfeito na transição energética</w:t>
      </w:r>
    </w:p>
    <w:p w14:paraId="338B1B9F" w14:textId="77777777" w:rsidR="00427317" w:rsidRPr="000D7807" w:rsidRDefault="00427317" w:rsidP="6091D89C">
      <w:pPr>
        <w:spacing w:line="276" w:lineRule="auto"/>
        <w:rPr>
          <w:rFonts w:ascii="Inter 28pt" w:hAnsi="Inter 28pt" w:cs="Arial"/>
          <w:b/>
          <w:bCs/>
          <w:sz w:val="28"/>
          <w:szCs w:val="28"/>
        </w:rPr>
      </w:pPr>
    </w:p>
    <w:p w14:paraId="411D6C4E" w14:textId="1B081387" w:rsidR="000C61D2" w:rsidRPr="000D7807" w:rsidRDefault="0073418B" w:rsidP="000C61D2">
      <w:pPr>
        <w:pStyle w:val="Body"/>
        <w:spacing w:line="360" w:lineRule="auto"/>
        <w:rPr>
          <w:rFonts w:ascii="Inter 28pt" w:hAnsi="Inter 28pt"/>
          <w:b/>
          <w:sz w:val="24"/>
        </w:rPr>
      </w:pPr>
      <w:bookmarkStart w:id="0" w:name="_Hlk182206473"/>
      <w:r>
        <w:rPr>
          <w:rFonts w:ascii="Inter 28pt" w:hAnsi="Inter 28pt"/>
          <w:b/>
          <w:sz w:val="24"/>
        </w:rPr>
        <w:t>Para além de uma gama abrangente de camiões totalmente elétricos, a DAF Trucks fornece uma variedade de serviços que apoiam os operadores no processo de transição energética. Estes serviços variam desde cursos de formação específicos para condutores a financiamento personalizado, desde fornecimento de estações de carregamento e sistemas de gestão de energia a serviços dedicados na plataforma de gestão de frotas online PACCAR Connect. A transição energética envolve mais do que a aquisição de um DAF XB, XD ou XF Electric.</w:t>
      </w:r>
    </w:p>
    <w:p w14:paraId="4CB62A2C" w14:textId="77777777" w:rsidR="000C61D2" w:rsidRPr="000D7807" w:rsidRDefault="000C61D2" w:rsidP="000C61D2">
      <w:pPr>
        <w:pStyle w:val="Body"/>
        <w:spacing w:line="360" w:lineRule="auto"/>
        <w:rPr>
          <w:rFonts w:ascii="Inter 28pt" w:hAnsi="Inter 28pt" w:cs="Arial"/>
          <w:b/>
          <w:bCs/>
          <w:sz w:val="24"/>
          <w:szCs w:val="24"/>
        </w:rPr>
      </w:pPr>
    </w:p>
    <w:p w14:paraId="324F3F8F" w14:textId="5B8F57F0" w:rsidR="000C61D2" w:rsidRPr="000D7807" w:rsidRDefault="000C61D2" w:rsidP="000C61D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Todos os concessionários na Europa: Centro de camiões elétricos DAF</w:t>
      </w:r>
    </w:p>
    <w:p w14:paraId="1B68C538" w14:textId="4C022197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Totalmente treinado e equipado</w:t>
      </w:r>
    </w:p>
    <w:p w14:paraId="18722D62" w14:textId="14231ADA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Disponibilidade de estações de carregamento públicas</w:t>
      </w:r>
    </w:p>
    <w:p w14:paraId="1D62AA65" w14:textId="474BA5E7" w:rsidR="000C61D2" w:rsidRPr="000D7807" w:rsidRDefault="000C61D2" w:rsidP="000C61D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Sistemas líderes de classe para uma excelente especificação do veículo</w:t>
      </w:r>
    </w:p>
    <w:p w14:paraId="233EB9A9" w14:textId="43D55AEE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ferramenta de vendas TOPEC também oferece simulações de percursos e agendamentos</w:t>
      </w:r>
    </w:p>
    <w:p w14:paraId="3E584680" w14:textId="367116CD" w:rsidR="009C6652" w:rsidRPr="000D7807" w:rsidRDefault="009C6652" w:rsidP="000C61D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Configurador de camiões 3D online</w:t>
      </w:r>
    </w:p>
    <w:p w14:paraId="1D34ADFE" w14:textId="77777777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PACCAR Power Solutions</w:t>
      </w:r>
    </w:p>
    <w:p w14:paraId="174DC27D" w14:textId="1FC12617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Vasta gama de estações de carregamento PACCAR de 20 a 400 kW</w:t>
      </w:r>
    </w:p>
    <w:p w14:paraId="396DFE64" w14:textId="597C8751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Aconselhamento e implementação de microrredes com sistemas de armazenamento de energia em baterias</w:t>
      </w:r>
    </w:p>
    <w:p w14:paraId="3BA8DBAF" w14:textId="77777777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Instruções completas para o condutor aquando da entrega</w:t>
      </w:r>
    </w:p>
    <w:p w14:paraId="494705B5" w14:textId="77777777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Vouchers para cursos de formação de condutores específicos</w:t>
      </w:r>
    </w:p>
    <w:p w14:paraId="7E98F53D" w14:textId="6198668A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Sistema de gestão de frotas online PACCAR Connect</w:t>
      </w:r>
    </w:p>
    <w:p w14:paraId="0D2E09AE" w14:textId="36F566FC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De série em todos os DAF XB, XD e XF Electric</w:t>
      </w:r>
    </w:p>
    <w:p w14:paraId="5E3F1C46" w14:textId="0AAEC9C0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Estado atual do fornecimento e consumo de energia</w:t>
      </w:r>
    </w:p>
    <w:p w14:paraId="3D11EC27" w14:textId="100550E1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Ligação para o DAF Truck Navigation com descrição das estações de carregamento públicas disponíveis</w:t>
      </w:r>
    </w:p>
    <w:p w14:paraId="0D7A70E4" w14:textId="6AB1CB9C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Taxas apelativas para contratos de reparação e manutenção DAF MultiSupport e PACCAR Financial</w:t>
      </w:r>
    </w:p>
    <w:bookmarkEnd w:id="0"/>
    <w:p w14:paraId="5CEAAC98" w14:textId="5D6BB526" w:rsidR="00CB57C7" w:rsidRPr="000D7807" w:rsidRDefault="00E43548" w:rsidP="00F65B5D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Em 2018, a DAF foi a primeira fabricante europeia de camiões a comercializar um camião totalmente elétrico e desenvolveu um conjunto único e abrangente de serviços para fornecer aos clientes o melhor apoio possível quando decidirem mudar para modelos elétricos.</w:t>
      </w:r>
    </w:p>
    <w:p w14:paraId="1F117570" w14:textId="4B8F7FAF" w:rsidR="00CB57C7" w:rsidRPr="000D7807" w:rsidRDefault="00CB57C7" w:rsidP="00F65B5D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Centro de camiões elétricos DAF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Em primeiro lugar, todos os concessionários de vendas DAF na Europa foram oficialmente nomeados como Centro de camiões elétricos DAF. Isto significa que técnicos e vendedores especializados receberam toda a formação necessária, que as oficinas estão totalmente equipadas para realizar todos os trabalhos em camiões elétricos de forma segura e profissional e que a disponibilidade de peças é regulamentada. Além disso, todos os concessionários DAF terão uma estação de carregamento pública, que poderá ser utilizada por clientes e outros visitantes.</w:t>
      </w:r>
    </w:p>
    <w:p w14:paraId="74D90A21" w14:textId="038FC0CB" w:rsidR="00CB57C7" w:rsidRPr="000D7807" w:rsidRDefault="00C93F49" w:rsidP="00C93F49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TOPEC – O camião ideal para todas as aplicações</w:t>
      </w:r>
      <w:r>
        <w:rPr>
          <w:rFonts w:ascii="Inter 28pt" w:hAnsi="Inter 28pt"/>
          <w:sz w:val="24"/>
        </w:rPr>
        <w:br/>
        <w:t xml:space="preserve">Para identificar o camião elétrico mais adequado para um caso de utilização específico, os concessionários DAF utilizam o sistema TOPEC, que inclui todas as configurações e opções de veículos disponíveis. Estas informações são combinadas com as necessidades operacionais específicas do cliente para criar simulações completas, indicando os percursos ideais, como e onde as baterias podem ser carregadas e quanta energia o camião irá consumir. O TOPEC é, por isso, uma ferramenta importante para determinar a melhor configuração do veículo para obter a maior eficiência por quilómetro. Os operadores de transporte que pretendam saber o que a gama de veículos elétricos DAF pode fazer por eles podem visitar o website da </w:t>
      </w:r>
      <w:r>
        <w:rPr>
          <w:rFonts w:ascii="Inter 28pt" w:hAnsi="Inter 28pt"/>
          <w:sz w:val="24"/>
        </w:rPr>
        <w:lastRenderedPageBreak/>
        <w:t>DAF. Todas as versões do XB, XD e XF Electric foram totalmente integradas no configurador de camiões 3D online.</w:t>
      </w:r>
    </w:p>
    <w:p w14:paraId="36C03FD0" w14:textId="5C145250" w:rsidR="00240019" w:rsidRPr="000D7807" w:rsidRDefault="00455E5E" w:rsidP="00455E5E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Estações de carregamento e microrredes personalizadas</w:t>
      </w:r>
      <w:r>
        <w:rPr>
          <w:rFonts w:ascii="Inter 28pt" w:hAnsi="Inter 28pt"/>
          <w:sz w:val="24"/>
        </w:rPr>
        <w:br/>
        <w:t>Para além dos veículos elétricos mais avançados, a DAF também oferece uma vasta gama de estações de carregamento com potências entre 20 kW e 400 kW, e com a solução ideal para todas as aplicações.</w:t>
      </w:r>
    </w:p>
    <w:p w14:paraId="6CC5159F" w14:textId="7A4A9274" w:rsidR="00240019" w:rsidRPr="000D7807" w:rsidRDefault="00240019" w:rsidP="00455E5E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Estão disponíveis carregadores PACCAR de 20 kW a 50 kW, especialmente adequados para camiões que são carregados ao final da tarde ou à noite após as suas viagens diárias. Os carregadores de 120 kW e 180 kW foram concebidos para um carregamento rápido, sendo ideais para frotas que utilizam veículos elétricos em vários percursos ou em vários turnos. O carregador de 400 kW mais potente pode carregar totalmente os veículos em menos de duas horas ou até carregar rapidamente dois veículos em simultâneo. Os carregadores móveis de 24 kW a 40 kW são ideais para carregamentos temporários ou intermédios, por exemplo, para suportar testes e demonstrações de veículos.</w:t>
      </w:r>
    </w:p>
    <w:p w14:paraId="7C60B058" w14:textId="50A81C17" w:rsidR="000F47F1" w:rsidRPr="000D7807" w:rsidRDefault="00650D12" w:rsidP="000F47F1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A pedido do cliente, o serviço pode ser alargado de forma a incluir recomendações e até apoio na implementação de uma "microrrede" abrangente, que pode incluir painéis solares, um sistema de armazenamento de energia em baterias (BESS), sistemas de gestão de energia (EMS) avançados e carregadores rápidos. A PACCAR Power Solutions começará por mapear alguns parâmetros, como o tamanho da frota, a implementação, os horários de carregamento, os requisitos de energia de pico e as tarifas de energia. Qualquer excedente de eletricidade auto-gerada e a capacidade da rede local fazem igualmente parte desta investigação inicial.</w:t>
      </w:r>
    </w:p>
    <w:p w14:paraId="02BC0D7E" w14:textId="3321A193" w:rsidR="001D6315" w:rsidRPr="000D7807" w:rsidRDefault="000F47F1" w:rsidP="009C6652">
      <w:pPr>
        <w:pStyle w:val="Body"/>
        <w:spacing w:before="240" w:line="360" w:lineRule="auto"/>
        <w:rPr>
          <w:rFonts w:ascii="Inter 28pt" w:hAnsi="Inter 28pt" w:cs="Arial"/>
          <w:b/>
          <w:bCs/>
          <w:sz w:val="24"/>
          <w:szCs w:val="24"/>
        </w:rPr>
      </w:pPr>
      <w:r>
        <w:rPr>
          <w:rFonts w:ascii="Inter 28pt" w:hAnsi="Inter 28pt"/>
          <w:b/>
          <w:sz w:val="24"/>
        </w:rPr>
        <w:t>Formação de condutores específica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Quando um camião elétrico é entregue, o concessionário DAF dá especial ênfase a dar instruções abrangentes ao condutor, para que este possa tirar o máximo partido de todos os kWh de eletricidade. Durante a entrega do veículo, todos os detalhes do camião elétrico são explicados em pormenor, sendo dada especial atenção ao arranque, condução e utilização e carregamento das baterias do veículo.</w:t>
      </w:r>
    </w:p>
    <w:p w14:paraId="4D29C2C4" w14:textId="56D65383" w:rsidR="001D6315" w:rsidRPr="000D7807" w:rsidRDefault="001D6315" w:rsidP="001D631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Além disso, os clientes e condutores podem utilizar o voucher de formação de condutores da DAF para maximizar a eficiência energética do DAF Electric. Durante a formação, são aconselhados a escolher os momentos certos para carregar as baterias, otimizar a utilização da travagem regenerativa e maximizar o efeito da marcha por inércia do camião. Tudo isto com vista a alcançar a máxima eficiência de transporte.</w:t>
      </w:r>
    </w:p>
    <w:p w14:paraId="353BF5E2" w14:textId="38ABD021" w:rsidR="00745962" w:rsidRPr="000D7807" w:rsidRDefault="001D6315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PACCAR Connect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Como é de esperar, todos os camiões DAF totalmente elétricos também estão ligados à nova plataforma de gestão de frotas online PACCAR Connect para monitorizar o desempenho do veículo e do condutor 24 horas por dia. O PACCAR Connect ajuda a otimizar a rentabilidade da empresa.</w:t>
      </w:r>
    </w:p>
    <w:p w14:paraId="2775C0E7" w14:textId="5A3F5D26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Uma das principais vantagens do PACCAR Connect é o facto de as aplicações logísticas existentes de terceiros poderem utilizar dados do portal online. Isto facilita a monitorização de todos os processos logísticos e do desempenho de uma frota a partir de um computador, computador portátil ou até mesmo tablet. As funcionalidades específicas para os camiões elétricos incluem relatórios sobre o consumo de eletricidade atual, o estado da bateria atual e a autonomia de funcionamento restante, que são importantes para um planeamento eficiente de percursos.</w:t>
      </w:r>
    </w:p>
    <w:p w14:paraId="43989A9F" w14:textId="5DEAD539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O PACCAR Connect também ajuda os condutores a tornar o seu trabalho mais fácil e eficiente. Os serviços móveis PACCAR Connect estão ligados ao sistema de navegação do camião DAF. Isto significa que os novos percursos, definidos pela sua base, podem ser reencaminhados de forma fácil e direta para o DAF Truck Navigation. As estações de carregamento públicas disponíveis também são visíveis num relance.</w:t>
      </w:r>
    </w:p>
    <w:p w14:paraId="547EF427" w14:textId="57AB31C2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O módulo de estado do veículo opcional também está disponível para camiões elétricos, fornecendo informações sobre o estado do veículo à base de operações, incluindo mensagens atualizadas no tablier e uma indicação de quando esperar a próxima revisão.</w:t>
      </w:r>
    </w:p>
    <w:p w14:paraId="670C7EF1" w14:textId="13899985" w:rsidR="00B04A04" w:rsidRPr="000D7807" w:rsidRDefault="000C61D2" w:rsidP="000C61D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"DAF Transport Efficiency – a sua rentabilidade, o nosso objetivo", é como Bart Bosmans, membro do conselho de administração da DAF e responsável pelo departamento de Marketing &amp; Sales, resume tudo. "Isto também se aplica à vasta gama de camiões e serviços que fornecemos para apoiar os nossos clientes na transição energética da melhor forma possível. Isto inclui taxas apelativas para os contratos de reparação e manutenção DAF MultiSupport e financiamento da PACCAR Financial, para dar apenas alguns exemplos".</w:t>
      </w:r>
    </w:p>
    <w:p w14:paraId="747BCAFE" w14:textId="77777777" w:rsidR="00F07377" w:rsidRPr="000D7807" w:rsidRDefault="00F07377" w:rsidP="00C83643">
      <w:pPr>
        <w:spacing w:line="360" w:lineRule="auto"/>
        <w:rPr>
          <w:rFonts w:ascii="Inter 28pt" w:hAnsi="Inter 28pt"/>
          <w:i/>
          <w:sz w:val="24"/>
        </w:rPr>
      </w:pPr>
    </w:p>
    <w:p w14:paraId="2B8853FA" w14:textId="77777777" w:rsidR="00702C26" w:rsidRPr="000D7807" w:rsidRDefault="00702C26" w:rsidP="00702C26">
      <w:pPr>
        <w:rPr>
          <w:rFonts w:ascii="Inter 28pt" w:hAnsi="Inter 28pt" w:cs="Arial"/>
          <w:sz w:val="18"/>
          <w:szCs w:val="18"/>
        </w:rPr>
      </w:pP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 – uma subsidiária da PACCAR Inc, uma empresa tecnológica global que concebe e fabrica camiões ligeiros, médios e pesados. A DAF fornece uma gama completa de unidades de trator e rígidos, disponibilizando o veículo adequado para cada aplicação de transporte. A DAF é ainda um fornecedor líder de serviços, incluindo contratos de reparação e manutenção MultiSupport, serviços financeiros da PACCAR Financial e um serviço de disponibilização de peças de primeira classe da PACCAR Parts.</w:t>
      </w:r>
    </w:p>
    <w:p w14:paraId="280A58F1" w14:textId="77777777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</w:p>
    <w:p w14:paraId="3002D517" w14:textId="18847804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Eindhoven, setembro de 2025</w:t>
      </w:r>
    </w:p>
    <w:p w14:paraId="77B5AE64" w14:textId="77777777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</w:p>
    <w:p w14:paraId="6CE14A77" w14:textId="77777777" w:rsidR="00320B17" w:rsidRPr="000D7807" w:rsidRDefault="00320B17" w:rsidP="00320B17">
      <w:pPr>
        <w:rPr>
          <w:rFonts w:ascii="Inter 28pt" w:hAnsi="Inter 28pt" w:cs="Arial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Nota para los editores</w:t>
      </w:r>
    </w:p>
    <w:p w14:paraId="19F2B7F6" w14:textId="77777777" w:rsidR="00320B17" w:rsidRPr="000D7807" w:rsidRDefault="00320B17" w:rsidP="00320B17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Para más información:</w:t>
      </w:r>
    </w:p>
    <w:p w14:paraId="0F880E3E" w14:textId="77777777" w:rsidR="00320B17" w:rsidRPr="00F21327" w:rsidRDefault="00320B17" w:rsidP="00320B17">
      <w:pPr>
        <w:rPr>
          <w:rFonts w:ascii="Inter 28pt" w:hAnsi="Inter 28pt"/>
          <w:sz w:val="24"/>
        </w:rPr>
      </w:pPr>
      <w:r w:rsidRPr="00F21327">
        <w:rPr>
          <w:rFonts w:ascii="Inter 28pt" w:hAnsi="Inter 28pt"/>
          <w:sz w:val="24"/>
        </w:rPr>
        <w:t>DAF España y Portugal</w:t>
      </w:r>
    </w:p>
    <w:p w14:paraId="71972B00" w14:textId="77777777" w:rsidR="00320B17" w:rsidRPr="00F21327" w:rsidRDefault="00320B17" w:rsidP="00320B17">
      <w:pPr>
        <w:rPr>
          <w:rFonts w:ascii="Inter 28pt" w:hAnsi="Inter 28pt"/>
          <w:sz w:val="24"/>
        </w:rPr>
      </w:pPr>
      <w:r w:rsidRPr="00F21327">
        <w:rPr>
          <w:rFonts w:ascii="Inter 28pt" w:hAnsi="Inter 28pt"/>
          <w:sz w:val="24"/>
        </w:rPr>
        <w:t>Ignacio Jose Acedo Alcaraz</w:t>
      </w:r>
    </w:p>
    <w:p w14:paraId="4F598DF8" w14:textId="77777777" w:rsidR="00320B17" w:rsidRPr="00F21327" w:rsidRDefault="00320B17" w:rsidP="00320B17">
      <w:pPr>
        <w:rPr>
          <w:rFonts w:ascii="Inter 28pt" w:hAnsi="Inter 28pt"/>
          <w:sz w:val="24"/>
        </w:rPr>
      </w:pPr>
      <w:r w:rsidRPr="00F21327">
        <w:rPr>
          <w:rFonts w:ascii="Inter 28pt" w:hAnsi="Inter 28pt"/>
          <w:sz w:val="24"/>
        </w:rPr>
        <w:t>+34  616 748 465</w:t>
      </w:r>
    </w:p>
    <w:p w14:paraId="39A83D62" w14:textId="77777777" w:rsidR="00320B17" w:rsidRPr="00F21327" w:rsidRDefault="00320B17" w:rsidP="00320B17">
      <w:pPr>
        <w:rPr>
          <w:rFonts w:ascii="Inter 28pt" w:hAnsi="Inter 28pt"/>
          <w:sz w:val="24"/>
        </w:rPr>
      </w:pPr>
      <w:r w:rsidRPr="00F21327">
        <w:rPr>
          <w:rFonts w:ascii="Inter 28pt" w:hAnsi="Inter 28pt"/>
          <w:sz w:val="24"/>
        </w:rPr>
        <w:t>ignacio.jose.acedo@daftrucks.com</w:t>
      </w:r>
    </w:p>
    <w:p w14:paraId="0647ADB9" w14:textId="77777777" w:rsidR="00320B17" w:rsidRPr="00F21327" w:rsidRDefault="00320B17" w:rsidP="00320B17">
      <w:pPr>
        <w:spacing w:line="276" w:lineRule="auto"/>
        <w:rPr>
          <w:rFonts w:ascii="Inter 28pt" w:hAnsi="Inter 28pt"/>
          <w:sz w:val="24"/>
        </w:rPr>
      </w:pPr>
      <w:hyperlink r:id="rId13" w:history="1">
        <w:r w:rsidRPr="00F21327">
          <w:rPr>
            <w:rStyle w:val="Hyperlink"/>
            <w:rFonts w:ascii="Inter 28pt" w:hAnsi="Inter 28pt"/>
            <w:sz w:val="24"/>
          </w:rPr>
          <w:t>www.daf.es</w:t>
        </w:r>
      </w:hyperlink>
      <w:r w:rsidRPr="00F21327">
        <w:rPr>
          <w:rFonts w:ascii="Inter 28pt" w:hAnsi="Inter 28pt"/>
          <w:sz w:val="24"/>
        </w:rPr>
        <w:t xml:space="preserve"> </w:t>
      </w:r>
      <w:hyperlink r:id="rId14" w:history="1">
        <w:r w:rsidRPr="00F21327">
          <w:rPr>
            <w:rStyle w:val="Hyperlink"/>
            <w:rFonts w:ascii="Inter 28pt" w:hAnsi="Inter 28pt"/>
            <w:sz w:val="24"/>
          </w:rPr>
          <w:t>www.daf.pt</w:t>
        </w:r>
      </w:hyperlink>
    </w:p>
    <w:p w14:paraId="0305EC6E" w14:textId="77777777" w:rsidR="00937CEF" w:rsidRPr="00320B17" w:rsidRDefault="00937CEF" w:rsidP="00320B17">
      <w:pPr>
        <w:rPr>
          <w:rFonts w:ascii="Inter 28pt" w:hAnsi="Inter 28pt"/>
          <w:sz w:val="24"/>
        </w:rPr>
      </w:pPr>
    </w:p>
    <w:sectPr w:rsidR="00937CEF" w:rsidRPr="00320B17" w:rsidSect="001421EB">
      <w:headerReference w:type="default" r:id="rId15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DE0D" w14:textId="77777777" w:rsidR="00AF09B8" w:rsidRDefault="00AF09B8">
      <w:r>
        <w:separator/>
      </w:r>
    </w:p>
  </w:endnote>
  <w:endnote w:type="continuationSeparator" w:id="0">
    <w:p w14:paraId="3C3D6320" w14:textId="77777777" w:rsidR="00AF09B8" w:rsidRDefault="00AF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</w:t>
    </w:r>
    <w:r>
      <w:rPr>
        <w:rFonts w:ascii="Arial" w:hAnsi="Arial"/>
        <w:sz w:val="16"/>
      </w:rPr>
      <w:t xml:space="preserve">5001.05 (02.08)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7207" w14:textId="77777777" w:rsidR="00AF09B8" w:rsidRDefault="00AF09B8">
      <w:r>
        <w:separator/>
      </w:r>
    </w:p>
  </w:footnote>
  <w:footnote w:type="continuationSeparator" w:id="0">
    <w:p w14:paraId="64539D93" w14:textId="77777777" w:rsidR="00AF09B8" w:rsidRDefault="00AF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237" w14:textId="77777777" w:rsidR="0077358E" w:rsidRDefault="0077358E" w:rsidP="0077358E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5AC5191F" w14:textId="543B7224" w:rsidR="0077358E" w:rsidRPr="0077358E" w:rsidRDefault="0077358E" w:rsidP="0077358E">
    <w:pPr>
      <w:pStyle w:val="HeaderTextLeft"/>
      <w:framePr w:h="1265" w:hRule="exact" w:wrap="around" w:x="624" w:y="376"/>
      <w:spacing w:line="420" w:lineRule="exact"/>
      <w:rPr>
        <w:b w:val="0"/>
      </w:rPr>
    </w:pPr>
    <w:r>
      <w:rPr>
        <w:b w:val="0"/>
      </w:rPr>
      <w:t>Pers/Press/Presse/Prensa/Stampa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77358E" w14:paraId="7A19687E" w14:textId="77777777" w:rsidTr="0077358E">
      <w:trPr>
        <w:trHeight w:val="1249"/>
      </w:trPr>
      <w:tc>
        <w:tcPr>
          <w:tcW w:w="2553" w:type="dxa"/>
        </w:tcPr>
        <w:p w14:paraId="56619EE4" w14:textId="77777777" w:rsidR="0077358E" w:rsidRDefault="001421EB" w:rsidP="008F14AD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04F5CC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9.8pt;height:54.1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17648387" r:id="rId2"/>
            </w:object>
          </w:r>
        </w:p>
      </w:tc>
    </w:tr>
    <w:tr w:rsidR="0077358E" w14:paraId="66248D61" w14:textId="77777777" w:rsidTr="0077358E">
      <w:trPr>
        <w:trHeight w:hRule="exact" w:val="264"/>
      </w:trPr>
      <w:tc>
        <w:tcPr>
          <w:tcW w:w="2553" w:type="dxa"/>
        </w:tcPr>
        <w:p w14:paraId="3BCA978B" w14:textId="77777777" w:rsidR="0077358E" w:rsidRDefault="0077358E" w:rsidP="008F14AD">
          <w:pPr>
            <w:pStyle w:val="KoptekstLogoCompanyAddress"/>
            <w:framePr w:wrap="around"/>
          </w:pPr>
          <w:r>
            <w:t>Hugo van der Goeslaan 1</w:t>
          </w:r>
        </w:p>
      </w:tc>
    </w:tr>
    <w:tr w:rsidR="0077358E" w14:paraId="69ED357E" w14:textId="77777777" w:rsidTr="0077358E">
      <w:trPr>
        <w:trHeight w:hRule="exact" w:val="264"/>
      </w:trPr>
      <w:tc>
        <w:tcPr>
          <w:tcW w:w="2553" w:type="dxa"/>
        </w:tcPr>
        <w:p w14:paraId="2350B2EF" w14:textId="77777777" w:rsidR="0077358E" w:rsidRDefault="0077358E" w:rsidP="008F14AD">
          <w:pPr>
            <w:pStyle w:val="KoptekstLogoCompanyAddress"/>
            <w:framePr w:wrap="around"/>
          </w:pPr>
          <w:r>
            <w:t>P.O. Box 90065</w:t>
          </w:r>
        </w:p>
      </w:tc>
    </w:tr>
    <w:tr w:rsidR="0077358E" w14:paraId="031775D7" w14:textId="77777777" w:rsidTr="0077358E">
      <w:trPr>
        <w:trHeight w:hRule="exact" w:val="264"/>
      </w:trPr>
      <w:tc>
        <w:tcPr>
          <w:tcW w:w="2553" w:type="dxa"/>
        </w:tcPr>
        <w:p w14:paraId="4C2A053B" w14:textId="66A15EDA" w:rsidR="0077358E" w:rsidRDefault="0077358E" w:rsidP="008F14AD">
          <w:pPr>
            <w:pStyle w:val="KoptekstLogoCompanyAddress"/>
            <w:framePr w:wrap="around"/>
            <w:rPr>
              <w:u w:val="single"/>
            </w:rPr>
          </w:pPr>
          <w:r>
            <w:t>5600 PT Eindhoven, Países Baixos</w:t>
          </w:r>
        </w:p>
      </w:tc>
    </w:tr>
    <w:tr w:rsidR="0077358E" w14:paraId="2D08D9FD" w14:textId="77777777" w:rsidTr="0077358E">
      <w:trPr>
        <w:trHeight w:hRule="exact" w:val="264"/>
      </w:trPr>
      <w:tc>
        <w:tcPr>
          <w:tcW w:w="2553" w:type="dxa"/>
        </w:tcPr>
        <w:p w14:paraId="36105E92" w14:textId="77777777" w:rsidR="0077358E" w:rsidRDefault="0077358E" w:rsidP="008F14AD">
          <w:pPr>
            <w:pStyle w:val="KoptekstLogoCompanyAddress"/>
            <w:framePr w:wrap="around"/>
          </w:pPr>
          <w:r>
            <w:t>Tel.: +31 (0)40 214 21 04</w:t>
          </w:r>
        </w:p>
      </w:tc>
    </w:tr>
    <w:tr w:rsidR="0077358E" w14:paraId="4ED6A4E4" w14:textId="77777777" w:rsidTr="0077358E">
      <w:trPr>
        <w:trHeight w:hRule="exact" w:val="264"/>
      </w:trPr>
      <w:tc>
        <w:tcPr>
          <w:tcW w:w="2553" w:type="dxa"/>
        </w:tcPr>
        <w:p w14:paraId="479F8C50" w14:textId="77777777" w:rsidR="0077358E" w:rsidRDefault="0077358E" w:rsidP="008F14AD">
          <w:pPr>
            <w:pStyle w:val="KoptekstLogoCompanyAddress"/>
            <w:framePr w:wrap="around"/>
          </w:pPr>
          <w:r>
            <w:t>Fax: +31 (0)40 214 43 17</w:t>
          </w:r>
        </w:p>
      </w:tc>
    </w:tr>
    <w:tr w:rsidR="0077358E" w14:paraId="2E6535B1" w14:textId="77777777" w:rsidTr="0077358E">
      <w:trPr>
        <w:trHeight w:hRule="exact" w:val="264"/>
      </w:trPr>
      <w:tc>
        <w:tcPr>
          <w:tcW w:w="2553" w:type="dxa"/>
        </w:tcPr>
        <w:p w14:paraId="1B8091C7" w14:textId="77777777" w:rsidR="0077358E" w:rsidRDefault="0077358E" w:rsidP="008F14AD">
          <w:pPr>
            <w:pStyle w:val="KoptekstLogoCompanyAddress"/>
            <w:framePr w:wrap="around"/>
          </w:pPr>
          <w:r>
            <w:t>Internet: www.daf.com</w:t>
          </w:r>
        </w:p>
      </w:tc>
    </w:tr>
    <w:tr w:rsidR="0077358E" w14:paraId="0079FC4A" w14:textId="77777777" w:rsidTr="0077358E">
      <w:trPr>
        <w:trHeight w:hRule="exact" w:val="264"/>
      </w:trPr>
      <w:tc>
        <w:tcPr>
          <w:tcW w:w="2553" w:type="dxa"/>
        </w:tcPr>
        <w:p w14:paraId="7BC99C31" w14:textId="77777777" w:rsidR="0077358E" w:rsidRDefault="00637FD0" w:rsidP="008F14AD">
          <w:pPr>
            <w:pStyle w:val="KoptekstLogoCompanyAddress"/>
            <w:framePr w:wrap="around"/>
          </w:pPr>
          <w:r>
            <w:drawing>
              <wp:inline distT="0" distB="0" distL="0" distR="0" wp14:anchorId="64A10DC5" wp14:editId="119A279E">
                <wp:extent cx="1009650" cy="762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D0595B" w14:textId="77777777" w:rsidR="0077358E" w:rsidRDefault="007735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A6821"/>
    <w:multiLevelType w:val="hybridMultilevel"/>
    <w:tmpl w:val="5C8CBA06"/>
    <w:lvl w:ilvl="0" w:tplc="098C8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231347">
    <w:abstractNumId w:val="1"/>
  </w:num>
  <w:num w:numId="2" w16cid:durableId="780421893">
    <w:abstractNumId w:val="0"/>
  </w:num>
  <w:num w:numId="3" w16cid:durableId="112689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CA0"/>
    <w:rsid w:val="000048AA"/>
    <w:rsid w:val="00014A27"/>
    <w:rsid w:val="00027B85"/>
    <w:rsid w:val="00040273"/>
    <w:rsid w:val="0004239E"/>
    <w:rsid w:val="00045748"/>
    <w:rsid w:val="000462BF"/>
    <w:rsid w:val="000544FF"/>
    <w:rsid w:val="00054C58"/>
    <w:rsid w:val="00054E48"/>
    <w:rsid w:val="000557F1"/>
    <w:rsid w:val="00070003"/>
    <w:rsid w:val="0007591D"/>
    <w:rsid w:val="000764AB"/>
    <w:rsid w:val="00087EE7"/>
    <w:rsid w:val="000B3DDE"/>
    <w:rsid w:val="000C61D2"/>
    <w:rsid w:val="000D02EB"/>
    <w:rsid w:val="000D7807"/>
    <w:rsid w:val="000F0B46"/>
    <w:rsid w:val="000F47F1"/>
    <w:rsid w:val="00103134"/>
    <w:rsid w:val="00105BFD"/>
    <w:rsid w:val="00110192"/>
    <w:rsid w:val="00110D7A"/>
    <w:rsid w:val="00112FE6"/>
    <w:rsid w:val="00115E1C"/>
    <w:rsid w:val="00120FF0"/>
    <w:rsid w:val="00124878"/>
    <w:rsid w:val="001309C4"/>
    <w:rsid w:val="001347ED"/>
    <w:rsid w:val="00134A01"/>
    <w:rsid w:val="00134F7C"/>
    <w:rsid w:val="001421EB"/>
    <w:rsid w:val="001539FE"/>
    <w:rsid w:val="00157930"/>
    <w:rsid w:val="00184503"/>
    <w:rsid w:val="00185A59"/>
    <w:rsid w:val="00185D58"/>
    <w:rsid w:val="001866EE"/>
    <w:rsid w:val="001911AB"/>
    <w:rsid w:val="001A36F8"/>
    <w:rsid w:val="001A569E"/>
    <w:rsid w:val="001B25AB"/>
    <w:rsid w:val="001B6D31"/>
    <w:rsid w:val="001C03AE"/>
    <w:rsid w:val="001C041A"/>
    <w:rsid w:val="001C3C7C"/>
    <w:rsid w:val="001D6315"/>
    <w:rsid w:val="001E077B"/>
    <w:rsid w:val="001E52BD"/>
    <w:rsid w:val="001E5397"/>
    <w:rsid w:val="001E6B1F"/>
    <w:rsid w:val="001F3730"/>
    <w:rsid w:val="001F5404"/>
    <w:rsid w:val="00201FC6"/>
    <w:rsid w:val="002022B8"/>
    <w:rsid w:val="0020559E"/>
    <w:rsid w:val="002114F8"/>
    <w:rsid w:val="00212217"/>
    <w:rsid w:val="00214FDF"/>
    <w:rsid w:val="00215188"/>
    <w:rsid w:val="002177AC"/>
    <w:rsid w:val="0022411A"/>
    <w:rsid w:val="00240019"/>
    <w:rsid w:val="00241F81"/>
    <w:rsid w:val="00245E40"/>
    <w:rsid w:val="002511C1"/>
    <w:rsid w:val="00256771"/>
    <w:rsid w:val="00264421"/>
    <w:rsid w:val="002657BA"/>
    <w:rsid w:val="0027045F"/>
    <w:rsid w:val="00274B16"/>
    <w:rsid w:val="00280BA6"/>
    <w:rsid w:val="00285635"/>
    <w:rsid w:val="0029194F"/>
    <w:rsid w:val="002A004A"/>
    <w:rsid w:val="002A70C6"/>
    <w:rsid w:val="002A7CA0"/>
    <w:rsid w:val="002B0BC9"/>
    <w:rsid w:val="002B1CD5"/>
    <w:rsid w:val="002B2168"/>
    <w:rsid w:val="002B35B9"/>
    <w:rsid w:val="002B6B97"/>
    <w:rsid w:val="002C091A"/>
    <w:rsid w:val="002C141F"/>
    <w:rsid w:val="002C1F82"/>
    <w:rsid w:val="002C4523"/>
    <w:rsid w:val="002D5C53"/>
    <w:rsid w:val="002E0733"/>
    <w:rsid w:val="002E1C61"/>
    <w:rsid w:val="002E4195"/>
    <w:rsid w:val="00302A48"/>
    <w:rsid w:val="00306CFB"/>
    <w:rsid w:val="00314EFC"/>
    <w:rsid w:val="00317C7C"/>
    <w:rsid w:val="00320B17"/>
    <w:rsid w:val="0032554F"/>
    <w:rsid w:val="00327210"/>
    <w:rsid w:val="003361CF"/>
    <w:rsid w:val="00340288"/>
    <w:rsid w:val="00346AAD"/>
    <w:rsid w:val="003471FD"/>
    <w:rsid w:val="003530C5"/>
    <w:rsid w:val="00361AFC"/>
    <w:rsid w:val="00363753"/>
    <w:rsid w:val="0036585E"/>
    <w:rsid w:val="00366A9B"/>
    <w:rsid w:val="00371271"/>
    <w:rsid w:val="0037439C"/>
    <w:rsid w:val="00375404"/>
    <w:rsid w:val="003836DA"/>
    <w:rsid w:val="00385E8D"/>
    <w:rsid w:val="00396CF7"/>
    <w:rsid w:val="003B26BF"/>
    <w:rsid w:val="003B315F"/>
    <w:rsid w:val="003C3CF0"/>
    <w:rsid w:val="003C59AE"/>
    <w:rsid w:val="003E004E"/>
    <w:rsid w:val="003E03CE"/>
    <w:rsid w:val="003E320D"/>
    <w:rsid w:val="003E3325"/>
    <w:rsid w:val="003E4A56"/>
    <w:rsid w:val="003F2226"/>
    <w:rsid w:val="00405FEC"/>
    <w:rsid w:val="0041287A"/>
    <w:rsid w:val="00415293"/>
    <w:rsid w:val="004177F4"/>
    <w:rsid w:val="00424904"/>
    <w:rsid w:val="0042588F"/>
    <w:rsid w:val="00427317"/>
    <w:rsid w:val="00433BA4"/>
    <w:rsid w:val="0044384A"/>
    <w:rsid w:val="00443CD4"/>
    <w:rsid w:val="00447AC9"/>
    <w:rsid w:val="00454711"/>
    <w:rsid w:val="00455E5E"/>
    <w:rsid w:val="00464E2C"/>
    <w:rsid w:val="004673AC"/>
    <w:rsid w:val="00484CC8"/>
    <w:rsid w:val="00486043"/>
    <w:rsid w:val="00490D22"/>
    <w:rsid w:val="004916DC"/>
    <w:rsid w:val="004943E8"/>
    <w:rsid w:val="00495272"/>
    <w:rsid w:val="004A2033"/>
    <w:rsid w:val="004B0953"/>
    <w:rsid w:val="004B4A0B"/>
    <w:rsid w:val="004B52CA"/>
    <w:rsid w:val="004D74C2"/>
    <w:rsid w:val="004E4E25"/>
    <w:rsid w:val="004E53ED"/>
    <w:rsid w:val="004E5A3B"/>
    <w:rsid w:val="004F3061"/>
    <w:rsid w:val="00501E0D"/>
    <w:rsid w:val="00504F20"/>
    <w:rsid w:val="005111CA"/>
    <w:rsid w:val="005119E5"/>
    <w:rsid w:val="00512147"/>
    <w:rsid w:val="005133AC"/>
    <w:rsid w:val="005212A0"/>
    <w:rsid w:val="00524C60"/>
    <w:rsid w:val="00532139"/>
    <w:rsid w:val="00533828"/>
    <w:rsid w:val="00537EB2"/>
    <w:rsid w:val="005440D2"/>
    <w:rsid w:val="00550AF3"/>
    <w:rsid w:val="00555496"/>
    <w:rsid w:val="00557963"/>
    <w:rsid w:val="005714A9"/>
    <w:rsid w:val="0057445D"/>
    <w:rsid w:val="00577A05"/>
    <w:rsid w:val="00577FE3"/>
    <w:rsid w:val="00580286"/>
    <w:rsid w:val="005806BC"/>
    <w:rsid w:val="005821A6"/>
    <w:rsid w:val="00582751"/>
    <w:rsid w:val="005900B8"/>
    <w:rsid w:val="00597FD9"/>
    <w:rsid w:val="005A2415"/>
    <w:rsid w:val="005A7DE8"/>
    <w:rsid w:val="005C3F0B"/>
    <w:rsid w:val="005C7681"/>
    <w:rsid w:val="005D4CC4"/>
    <w:rsid w:val="005E06DC"/>
    <w:rsid w:val="005E1579"/>
    <w:rsid w:val="005E781F"/>
    <w:rsid w:val="005F4299"/>
    <w:rsid w:val="005F5AFD"/>
    <w:rsid w:val="00602C71"/>
    <w:rsid w:val="006036F6"/>
    <w:rsid w:val="00605AC0"/>
    <w:rsid w:val="0062109D"/>
    <w:rsid w:val="00626054"/>
    <w:rsid w:val="00632C10"/>
    <w:rsid w:val="00634BF8"/>
    <w:rsid w:val="00634ECE"/>
    <w:rsid w:val="00637FD0"/>
    <w:rsid w:val="00644832"/>
    <w:rsid w:val="00650436"/>
    <w:rsid w:val="00650D12"/>
    <w:rsid w:val="006637CA"/>
    <w:rsid w:val="006856E7"/>
    <w:rsid w:val="0068624D"/>
    <w:rsid w:val="00691CE5"/>
    <w:rsid w:val="0069606B"/>
    <w:rsid w:val="006A55F9"/>
    <w:rsid w:val="006B1192"/>
    <w:rsid w:val="006C0497"/>
    <w:rsid w:val="006D01F7"/>
    <w:rsid w:val="006D0DA2"/>
    <w:rsid w:val="006D181F"/>
    <w:rsid w:val="006D5A30"/>
    <w:rsid w:val="006D65F2"/>
    <w:rsid w:val="006E17E8"/>
    <w:rsid w:val="006E6923"/>
    <w:rsid w:val="006E738E"/>
    <w:rsid w:val="006F1FB8"/>
    <w:rsid w:val="006F5AE2"/>
    <w:rsid w:val="00702C26"/>
    <w:rsid w:val="00703A05"/>
    <w:rsid w:val="00707AE4"/>
    <w:rsid w:val="00720636"/>
    <w:rsid w:val="00721491"/>
    <w:rsid w:val="00723D65"/>
    <w:rsid w:val="0072466C"/>
    <w:rsid w:val="00724DFA"/>
    <w:rsid w:val="00732443"/>
    <w:rsid w:val="0073418B"/>
    <w:rsid w:val="0073424C"/>
    <w:rsid w:val="007438BB"/>
    <w:rsid w:val="0074461B"/>
    <w:rsid w:val="00745962"/>
    <w:rsid w:val="00755562"/>
    <w:rsid w:val="007616DC"/>
    <w:rsid w:val="00770AE7"/>
    <w:rsid w:val="00773321"/>
    <w:rsid w:val="0077358E"/>
    <w:rsid w:val="00773BE8"/>
    <w:rsid w:val="007819ED"/>
    <w:rsid w:val="00782077"/>
    <w:rsid w:val="00782ABA"/>
    <w:rsid w:val="00786C99"/>
    <w:rsid w:val="0078759E"/>
    <w:rsid w:val="00787D6D"/>
    <w:rsid w:val="00795368"/>
    <w:rsid w:val="007A0503"/>
    <w:rsid w:val="007A54C5"/>
    <w:rsid w:val="007B153B"/>
    <w:rsid w:val="007C13FC"/>
    <w:rsid w:val="007D0271"/>
    <w:rsid w:val="007D14C4"/>
    <w:rsid w:val="007E3AC3"/>
    <w:rsid w:val="007E5DB2"/>
    <w:rsid w:val="007E6869"/>
    <w:rsid w:val="007F4239"/>
    <w:rsid w:val="007F53E7"/>
    <w:rsid w:val="00801FA9"/>
    <w:rsid w:val="00803895"/>
    <w:rsid w:val="0081103E"/>
    <w:rsid w:val="00815A29"/>
    <w:rsid w:val="00816FF0"/>
    <w:rsid w:val="008338B4"/>
    <w:rsid w:val="00833C45"/>
    <w:rsid w:val="00835429"/>
    <w:rsid w:val="00840DC4"/>
    <w:rsid w:val="00841C3B"/>
    <w:rsid w:val="0084635F"/>
    <w:rsid w:val="0084657C"/>
    <w:rsid w:val="00851339"/>
    <w:rsid w:val="0085325C"/>
    <w:rsid w:val="008535D0"/>
    <w:rsid w:val="00854FB3"/>
    <w:rsid w:val="00857322"/>
    <w:rsid w:val="00872BD9"/>
    <w:rsid w:val="00872EC6"/>
    <w:rsid w:val="008744CE"/>
    <w:rsid w:val="00875AD7"/>
    <w:rsid w:val="0088272F"/>
    <w:rsid w:val="0088710D"/>
    <w:rsid w:val="0089234F"/>
    <w:rsid w:val="00892565"/>
    <w:rsid w:val="0089499D"/>
    <w:rsid w:val="008A1A9D"/>
    <w:rsid w:val="008A4514"/>
    <w:rsid w:val="008A5E8F"/>
    <w:rsid w:val="008A5ED4"/>
    <w:rsid w:val="008B6A06"/>
    <w:rsid w:val="008C6D10"/>
    <w:rsid w:val="008D1D03"/>
    <w:rsid w:val="008E21A7"/>
    <w:rsid w:val="008E34CC"/>
    <w:rsid w:val="008E46B7"/>
    <w:rsid w:val="008F14AD"/>
    <w:rsid w:val="008F540A"/>
    <w:rsid w:val="00901176"/>
    <w:rsid w:val="00911790"/>
    <w:rsid w:val="00912C07"/>
    <w:rsid w:val="0091779D"/>
    <w:rsid w:val="00917F62"/>
    <w:rsid w:val="0092251D"/>
    <w:rsid w:val="00926886"/>
    <w:rsid w:val="00937CEF"/>
    <w:rsid w:val="00945FEC"/>
    <w:rsid w:val="00947BD0"/>
    <w:rsid w:val="0095332E"/>
    <w:rsid w:val="00957812"/>
    <w:rsid w:val="00963270"/>
    <w:rsid w:val="00967B96"/>
    <w:rsid w:val="009843D0"/>
    <w:rsid w:val="0099797B"/>
    <w:rsid w:val="009A0890"/>
    <w:rsid w:val="009A0BFA"/>
    <w:rsid w:val="009A1D47"/>
    <w:rsid w:val="009B0A89"/>
    <w:rsid w:val="009B4D45"/>
    <w:rsid w:val="009B6E5F"/>
    <w:rsid w:val="009C6652"/>
    <w:rsid w:val="009C6CBB"/>
    <w:rsid w:val="009D1734"/>
    <w:rsid w:val="009E2231"/>
    <w:rsid w:val="009F47BC"/>
    <w:rsid w:val="00A00145"/>
    <w:rsid w:val="00A17019"/>
    <w:rsid w:val="00A27CA2"/>
    <w:rsid w:val="00A425E9"/>
    <w:rsid w:val="00A50B44"/>
    <w:rsid w:val="00A50EE9"/>
    <w:rsid w:val="00A54ECF"/>
    <w:rsid w:val="00A65D84"/>
    <w:rsid w:val="00A70D07"/>
    <w:rsid w:val="00A7277D"/>
    <w:rsid w:val="00A80792"/>
    <w:rsid w:val="00A83D03"/>
    <w:rsid w:val="00A87FFE"/>
    <w:rsid w:val="00A954CB"/>
    <w:rsid w:val="00A95A37"/>
    <w:rsid w:val="00AC0B92"/>
    <w:rsid w:val="00AC58F3"/>
    <w:rsid w:val="00AC61CB"/>
    <w:rsid w:val="00AC6766"/>
    <w:rsid w:val="00AD6EE9"/>
    <w:rsid w:val="00AD7847"/>
    <w:rsid w:val="00AD78E7"/>
    <w:rsid w:val="00AE2E38"/>
    <w:rsid w:val="00AF09B8"/>
    <w:rsid w:val="00AF3D9B"/>
    <w:rsid w:val="00AF4B72"/>
    <w:rsid w:val="00B04A04"/>
    <w:rsid w:val="00B16083"/>
    <w:rsid w:val="00B35DF6"/>
    <w:rsid w:val="00B531C3"/>
    <w:rsid w:val="00B70617"/>
    <w:rsid w:val="00B776CD"/>
    <w:rsid w:val="00B81790"/>
    <w:rsid w:val="00B838EF"/>
    <w:rsid w:val="00B94779"/>
    <w:rsid w:val="00BA750F"/>
    <w:rsid w:val="00BB1FA8"/>
    <w:rsid w:val="00BB756C"/>
    <w:rsid w:val="00BC0BDD"/>
    <w:rsid w:val="00BC0F18"/>
    <w:rsid w:val="00BD4581"/>
    <w:rsid w:val="00BD5544"/>
    <w:rsid w:val="00BE1925"/>
    <w:rsid w:val="00BE5C36"/>
    <w:rsid w:val="00BF3D5C"/>
    <w:rsid w:val="00BF621A"/>
    <w:rsid w:val="00BF7110"/>
    <w:rsid w:val="00C0474A"/>
    <w:rsid w:val="00C15D3D"/>
    <w:rsid w:val="00C211C6"/>
    <w:rsid w:val="00C23A03"/>
    <w:rsid w:val="00C25503"/>
    <w:rsid w:val="00C25880"/>
    <w:rsid w:val="00C3323E"/>
    <w:rsid w:val="00C33D9C"/>
    <w:rsid w:val="00C3604B"/>
    <w:rsid w:val="00C37940"/>
    <w:rsid w:val="00C60B3B"/>
    <w:rsid w:val="00C62615"/>
    <w:rsid w:val="00C63314"/>
    <w:rsid w:val="00C80571"/>
    <w:rsid w:val="00C83643"/>
    <w:rsid w:val="00C93F49"/>
    <w:rsid w:val="00C940EB"/>
    <w:rsid w:val="00C951E3"/>
    <w:rsid w:val="00C95615"/>
    <w:rsid w:val="00C97E77"/>
    <w:rsid w:val="00CA5C67"/>
    <w:rsid w:val="00CA622D"/>
    <w:rsid w:val="00CA7E03"/>
    <w:rsid w:val="00CB07A4"/>
    <w:rsid w:val="00CB3FD7"/>
    <w:rsid w:val="00CB57C7"/>
    <w:rsid w:val="00CC22C7"/>
    <w:rsid w:val="00CD0207"/>
    <w:rsid w:val="00CD5146"/>
    <w:rsid w:val="00CD6C8A"/>
    <w:rsid w:val="00CE4BF0"/>
    <w:rsid w:val="00D020E1"/>
    <w:rsid w:val="00D11070"/>
    <w:rsid w:val="00D20E4E"/>
    <w:rsid w:val="00D257E6"/>
    <w:rsid w:val="00D31F41"/>
    <w:rsid w:val="00D33E51"/>
    <w:rsid w:val="00D35F2D"/>
    <w:rsid w:val="00D41F62"/>
    <w:rsid w:val="00D441AB"/>
    <w:rsid w:val="00D446E2"/>
    <w:rsid w:val="00D52E2E"/>
    <w:rsid w:val="00D60591"/>
    <w:rsid w:val="00D60DE2"/>
    <w:rsid w:val="00D63305"/>
    <w:rsid w:val="00D662F6"/>
    <w:rsid w:val="00D87060"/>
    <w:rsid w:val="00D90992"/>
    <w:rsid w:val="00D92634"/>
    <w:rsid w:val="00DA3449"/>
    <w:rsid w:val="00DB0844"/>
    <w:rsid w:val="00DB0B11"/>
    <w:rsid w:val="00DB3391"/>
    <w:rsid w:val="00DB3E01"/>
    <w:rsid w:val="00DC1A19"/>
    <w:rsid w:val="00DC530E"/>
    <w:rsid w:val="00DC5792"/>
    <w:rsid w:val="00DC7A53"/>
    <w:rsid w:val="00DD1B58"/>
    <w:rsid w:val="00DD2D91"/>
    <w:rsid w:val="00DD4DA6"/>
    <w:rsid w:val="00DE11C1"/>
    <w:rsid w:val="00DE364D"/>
    <w:rsid w:val="00DE4269"/>
    <w:rsid w:val="00DE590F"/>
    <w:rsid w:val="00DE7373"/>
    <w:rsid w:val="00DF33E8"/>
    <w:rsid w:val="00E1477E"/>
    <w:rsid w:val="00E20F3B"/>
    <w:rsid w:val="00E219D5"/>
    <w:rsid w:val="00E43548"/>
    <w:rsid w:val="00E4756B"/>
    <w:rsid w:val="00E6277F"/>
    <w:rsid w:val="00E927BF"/>
    <w:rsid w:val="00E92842"/>
    <w:rsid w:val="00E92C64"/>
    <w:rsid w:val="00E93C41"/>
    <w:rsid w:val="00E97395"/>
    <w:rsid w:val="00EA25CC"/>
    <w:rsid w:val="00EA6D91"/>
    <w:rsid w:val="00EA7B2E"/>
    <w:rsid w:val="00EB040D"/>
    <w:rsid w:val="00EB2962"/>
    <w:rsid w:val="00EB3336"/>
    <w:rsid w:val="00EC23A7"/>
    <w:rsid w:val="00EC3E72"/>
    <w:rsid w:val="00EC6AB5"/>
    <w:rsid w:val="00ED2905"/>
    <w:rsid w:val="00ED3FBE"/>
    <w:rsid w:val="00ED572C"/>
    <w:rsid w:val="00ED6DC3"/>
    <w:rsid w:val="00ED7BB3"/>
    <w:rsid w:val="00EE7046"/>
    <w:rsid w:val="00EF1DE3"/>
    <w:rsid w:val="00EF33D2"/>
    <w:rsid w:val="00EF59D3"/>
    <w:rsid w:val="00EF6321"/>
    <w:rsid w:val="00F039BF"/>
    <w:rsid w:val="00F04C0F"/>
    <w:rsid w:val="00F07377"/>
    <w:rsid w:val="00F12AD4"/>
    <w:rsid w:val="00F22431"/>
    <w:rsid w:val="00F31433"/>
    <w:rsid w:val="00F3147D"/>
    <w:rsid w:val="00F33140"/>
    <w:rsid w:val="00F413AA"/>
    <w:rsid w:val="00F44E06"/>
    <w:rsid w:val="00F46490"/>
    <w:rsid w:val="00F5059E"/>
    <w:rsid w:val="00F5240D"/>
    <w:rsid w:val="00F53647"/>
    <w:rsid w:val="00F5380B"/>
    <w:rsid w:val="00F65B5D"/>
    <w:rsid w:val="00F66B43"/>
    <w:rsid w:val="00F7053F"/>
    <w:rsid w:val="00F7102D"/>
    <w:rsid w:val="00F75D94"/>
    <w:rsid w:val="00F95316"/>
    <w:rsid w:val="00F9669E"/>
    <w:rsid w:val="00FA09E9"/>
    <w:rsid w:val="00FB0BA9"/>
    <w:rsid w:val="00FB62C4"/>
    <w:rsid w:val="00FC194A"/>
    <w:rsid w:val="00FC755C"/>
    <w:rsid w:val="00FD76B3"/>
    <w:rsid w:val="00FE0E74"/>
    <w:rsid w:val="00FE47B1"/>
    <w:rsid w:val="00FF06F5"/>
    <w:rsid w:val="00FF1B59"/>
    <w:rsid w:val="00FF4537"/>
    <w:rsid w:val="00FF4FFA"/>
    <w:rsid w:val="00FF5873"/>
    <w:rsid w:val="00FF58E7"/>
    <w:rsid w:val="00FF5FFC"/>
    <w:rsid w:val="00FF7BBD"/>
    <w:rsid w:val="0E0BE628"/>
    <w:rsid w:val="107BC55A"/>
    <w:rsid w:val="22C3F410"/>
    <w:rsid w:val="325828F6"/>
    <w:rsid w:val="3D578AA5"/>
    <w:rsid w:val="42A7C806"/>
    <w:rsid w:val="4F725BC4"/>
    <w:rsid w:val="510E2C25"/>
    <w:rsid w:val="5FA9E09D"/>
    <w:rsid w:val="6091D89C"/>
    <w:rsid w:val="6B4C9AA7"/>
    <w:rsid w:val="6F4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A77EE895-6888-482C-B7AA-D91CE27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C63314"/>
  </w:style>
  <w:style w:type="character" w:styleId="Verwijzingopmerking">
    <w:name w:val="annotation reference"/>
    <w:basedOn w:val="Standaardalinea-lettertype"/>
    <w:semiHidden/>
    <w:unhideWhenUsed/>
    <w:rsid w:val="005A7DE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7DE8"/>
  </w:style>
  <w:style w:type="character" w:customStyle="1" w:styleId="TekstopmerkingChar">
    <w:name w:val="Tekst opmerking Char"/>
    <w:basedOn w:val="Standaardalinea-lettertype"/>
    <w:link w:val="Tekstopmerking"/>
    <w:rsid w:val="005A7DE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7D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7DE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8B4"/>
    <w:rPr>
      <w:color w:val="605E5C"/>
      <w:shd w:val="clear" w:color="auto" w:fill="E1DFDD"/>
    </w:rPr>
  </w:style>
  <w:style w:type="paragraph" w:styleId="Normaalweb">
    <w:name w:val="Normal (Web)"/>
    <w:basedOn w:val="Standaard"/>
    <w:semiHidden/>
    <w:unhideWhenUsed/>
    <w:rsid w:val="008E21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809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49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f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f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Een nieuw document maken." ma:contentTypeScope="" ma:versionID="93f1e2de05fcc8c2371cb043a58629b6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50e405133fb70af37d69a1d225d2ea60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9311-970F-467C-A8E2-6D0FF89C53AF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customXml/itemProps2.xml><?xml version="1.0" encoding="utf-8"?>
<ds:datastoreItem xmlns:ds="http://schemas.openxmlformats.org/officeDocument/2006/customXml" ds:itemID="{F92C4A42-E58E-4D0C-A72B-820F43050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6F8A3-2EAE-4B98-A494-C374FF136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7215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SF</vt:lpstr>
      <vt:lpstr>SF</vt:lpstr>
    </vt:vector>
  </TitlesOfParts>
  <Company>PR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3</cp:revision>
  <cp:lastPrinted>2024-11-21T09:30:00Z</cp:lastPrinted>
  <dcterms:created xsi:type="dcterms:W3CDTF">2025-08-25T15:26:00Z</dcterms:created>
  <dcterms:modified xsi:type="dcterms:W3CDTF">2025-08-25T15:33:00Z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1e019f-b452-4968-a847-b0d6f05acbc0_Enabled">
    <vt:lpwstr>true</vt:lpwstr>
  </property>
  <property fmtid="{D5CDD505-2E9C-101B-9397-08002B2CF9AE}" pid="3" name="MSIP_Label_f71e019f-b452-4968-a847-b0d6f05acbc0_SetDate">
    <vt:lpwstr>2024-05-01T12:39:15Z</vt:lpwstr>
  </property>
  <property fmtid="{D5CDD505-2E9C-101B-9397-08002B2CF9AE}" pid="4" name="MSIP_Label_f71e019f-b452-4968-a847-b0d6f05acbc0_Method">
    <vt:lpwstr>Privileged</vt:lpwstr>
  </property>
  <property fmtid="{D5CDD505-2E9C-101B-9397-08002B2CF9AE}" pid="5" name="MSIP_Label_f71e019f-b452-4968-a847-b0d6f05acbc0_Name">
    <vt:lpwstr>f71e019f-b452-4968-a847-b0d6f05acbc0</vt:lpwstr>
  </property>
  <property fmtid="{D5CDD505-2E9C-101B-9397-08002B2CF9AE}" pid="6" name="MSIP_Label_f71e019f-b452-4968-a847-b0d6f05acbc0_SiteId">
    <vt:lpwstr>e201abf9-c5a3-43f8-8e29-135d4fe67e6b</vt:lpwstr>
  </property>
  <property fmtid="{D5CDD505-2E9C-101B-9397-08002B2CF9AE}" pid="7" name="MSIP_Label_f71e019f-b452-4968-a847-b0d6f05acbc0_ActionId">
    <vt:lpwstr>f7f1fd24-1bcb-4b29-99cb-586a5db5e401</vt:lpwstr>
  </property>
  <property fmtid="{D5CDD505-2E9C-101B-9397-08002B2CF9AE}" pid="8" name="MSIP_Label_f71e019f-b452-4968-a847-b0d6f05acbc0_ContentBits">
    <vt:lpwstr>0</vt:lpwstr>
  </property>
  <property fmtid="{D5CDD505-2E9C-101B-9397-08002B2CF9AE}" pid="9" name="ContentTypeId">
    <vt:lpwstr>0x010100C0BA344580CAC84FB937D84220F62B12</vt:lpwstr>
  </property>
</Properties>
</file>