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D7807" w:rsidRDefault="005C7681" w:rsidP="005C7681">
      <w:pPr>
        <w:rPr>
          <w:rFonts w:ascii="Inter 28pt" w:hAnsi="Inter 28pt"/>
        </w:rPr>
        <w:sectPr w:rsidR="005C7681" w:rsidRPr="000D7807" w:rsidSect="001421EB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3602A59F" w14:textId="77777777" w:rsidR="003E4A56" w:rsidRPr="000D7807" w:rsidRDefault="003E4A56" w:rsidP="00C83643">
      <w:pPr>
        <w:spacing w:line="276" w:lineRule="auto"/>
        <w:rPr>
          <w:rFonts w:ascii="Inter 28pt" w:hAnsi="Inter 28pt" w:cs="Arial"/>
          <w:sz w:val="24"/>
          <w:szCs w:val="24"/>
        </w:rPr>
      </w:pPr>
    </w:p>
    <w:p w14:paraId="5B0A717B" w14:textId="33205DB5" w:rsidR="00C83643" w:rsidRPr="000D7807" w:rsidRDefault="00724DFA" w:rsidP="00C83643">
      <w:pPr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One-stop shopping: consulenza su misura e gamma completa di soluzioni energetiche</w:t>
      </w:r>
    </w:p>
    <w:p w14:paraId="3AB06E79" w14:textId="4C827935" w:rsidR="00C83643" w:rsidRPr="000D7807" w:rsidRDefault="0073418B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  <w:r>
        <w:rPr>
          <w:rFonts w:ascii="Inter 28pt" w:hAnsi="Inter 28pt"/>
          <w:b/>
          <w:sz w:val="28"/>
        </w:rPr>
        <w:t>DAF è il partner ideale nella transizione energetica</w:t>
      </w:r>
    </w:p>
    <w:p w14:paraId="338B1B9F" w14:textId="77777777" w:rsidR="00427317" w:rsidRPr="000D7807" w:rsidRDefault="00427317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</w:p>
    <w:p w14:paraId="411D6C4E" w14:textId="1B081387" w:rsidR="000C61D2" w:rsidRPr="000D7807" w:rsidRDefault="0073418B" w:rsidP="000C61D2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0" w:name="_Hlk182206473"/>
      <w:r>
        <w:rPr>
          <w:rFonts w:ascii="Inter 28pt" w:hAnsi="Inter 28pt"/>
          <w:b/>
          <w:sz w:val="24"/>
        </w:rPr>
        <w:t>Oltre a una gamma completa di veicoli completamente elettrici, DAF Trucks offre numerosi servizi che supportano gli operatori nel processo di transizione dell'energia. L'offerta comprende corsi di formazione specifici per i conducenti, finanziamenti su misura, fornitura di stazioni di ricarica e sistemi di gestione dell'energia e servizi dedicati all'interno della piattaforma online di gestione della flotta PACCAR Connect. La transizione energetica non si limita all'acquisto di un veicolo DAF XB, XD o XF Electric.</w:t>
      </w:r>
    </w:p>
    <w:p w14:paraId="4CB62A2C" w14:textId="77777777" w:rsidR="000C61D2" w:rsidRPr="000D7807" w:rsidRDefault="000C61D2" w:rsidP="000C61D2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324F3F8F" w14:textId="5B8F57F0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Tutti i concessionari in Europa: DAF Electric Truck Centre</w:t>
      </w:r>
    </w:p>
    <w:p w14:paraId="1B68C538" w14:textId="4C022197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Interamente formati ed equipaggiati</w:t>
      </w:r>
    </w:p>
    <w:p w14:paraId="18722D62" w14:textId="14231ADA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Disponibilità di stazioni di ricarica pubbliche</w:t>
      </w:r>
    </w:p>
    <w:p w14:paraId="1D62AA65" w14:textId="474BA5E7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Sistemi leader del settore per eccellenti specifiche del veicolo</w:t>
      </w:r>
    </w:p>
    <w:p w14:paraId="233EB9A9" w14:textId="43D55AEE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Inoltre, lo strumento di vendita TOPEC offre simulazioni e pianificazioni dei percorsi</w:t>
      </w:r>
    </w:p>
    <w:p w14:paraId="3E584680" w14:textId="367116CD" w:rsidR="009C6652" w:rsidRPr="000D7807" w:rsidRDefault="009C665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Programma di configurazione dei veicoli online 3D</w:t>
      </w:r>
    </w:p>
    <w:p w14:paraId="1D34ADFE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PACCAR Power Solutions</w:t>
      </w:r>
    </w:p>
    <w:p w14:paraId="174DC27D" w14:textId="1FC1261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Ampia gamma di stazioni di ricarica PACCAR da 20 a 400 kW</w:t>
      </w:r>
    </w:p>
    <w:p w14:paraId="396DFE64" w14:textId="597C875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Consulenza e implementazione delle microreti con i sistemi di sistema di accumulo dell'energia della batteria</w:t>
      </w:r>
    </w:p>
    <w:p w14:paraId="3BA8DBAF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Istruzioni dettagliate per il conducente al momento della consegna</w:t>
      </w:r>
    </w:p>
    <w:p w14:paraId="494705B5" w14:textId="7777777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Voucher per corsi di formazione specifici per conducenti</w:t>
      </w:r>
    </w:p>
    <w:p w14:paraId="7E98F53D" w14:textId="6198668A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Sistema di gestione online del parco veicoli PACCAR Connect</w:t>
      </w:r>
    </w:p>
    <w:p w14:paraId="0D2E09AE" w14:textId="36F566FC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Di serie su tutti i veicoli DAF XB, XD e XF Electric</w:t>
      </w:r>
    </w:p>
    <w:p w14:paraId="5E3F1C46" w14:textId="0AAEC9C0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Stato corrente dell'alimentazione e del consumo di energia</w:t>
      </w:r>
    </w:p>
    <w:p w14:paraId="3D11EC27" w14:textId="100550E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Collegamento a DAF Truck Navigation con panoramica delle stazioni di ricarica pubbliche disponibili</w:t>
      </w:r>
    </w:p>
    <w:p w14:paraId="0D7A70E4" w14:textId="6AB1CB9C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Tariffe convenienti per i contratti di riparazione e manutenzione DAF MultiSupport e PACCAR Financial</w:t>
      </w:r>
    </w:p>
    <w:bookmarkEnd w:id="0"/>
    <w:p w14:paraId="5CEAAC98" w14:textId="5D6BB526" w:rsidR="00CB57C7" w:rsidRPr="000D7807" w:rsidRDefault="00E43548" w:rsidP="00F65B5D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Nel 2018, DAF è stato il primo produttore europeo di veicoli industriali a commercializzare un veicolo completamente elettrico, sviluppando una serie unica e completa di servizi per fornire ai clienti il miglior supporto possibile nel passaggio a un veicolo elettrico.</w:t>
      </w:r>
    </w:p>
    <w:p w14:paraId="1F117570" w14:textId="792BEAC7" w:rsidR="00CB57C7" w:rsidRPr="00801776" w:rsidRDefault="00CB57C7" w:rsidP="5FAA216A">
      <w:pPr>
        <w:pStyle w:val="Body"/>
        <w:spacing w:before="240" w:line="360" w:lineRule="auto"/>
        <w:rPr>
          <w:sz w:val="24"/>
          <w:szCs w:val="24"/>
        </w:rPr>
      </w:pPr>
      <w:r w:rsidRPr="5FAA216A">
        <w:rPr>
          <w:sz w:val="24"/>
          <w:szCs w:val="24"/>
        </w:rPr>
        <w:t>DAF Electric Truck Center</w:t>
      </w:r>
      <w:r>
        <w:br/>
      </w:r>
      <w:r w:rsidRPr="5FAA216A">
        <w:rPr>
          <w:sz w:val="24"/>
          <w:szCs w:val="24"/>
        </w:rPr>
        <w:t xml:space="preserve">Tutti i concessionari DAF in Europa sono stati ufficialmente nominati DAF Electric Truck Center. Ciò significa che tecnici specializzati e venditori hanno ricevuto tutta la formazione necessaria, che le officine sono completamente attrezzate per eseguire tutti i lavori sui veicoli elettrici in modo sicuro e professionale e che la disponibilità dei ricambi </w:t>
      </w:r>
      <w:r w:rsidR="644B8529" w:rsidRPr="5FAA216A">
        <w:rPr>
          <w:sz w:val="24"/>
          <w:szCs w:val="24"/>
        </w:rPr>
        <w:t>è garantita</w:t>
      </w:r>
      <w:r w:rsidRPr="5FAA216A">
        <w:rPr>
          <w:sz w:val="24"/>
          <w:szCs w:val="24"/>
        </w:rPr>
        <w:t xml:space="preserve">. </w:t>
      </w:r>
      <w:r w:rsidR="00801776" w:rsidRPr="00801776">
        <w:rPr>
          <w:sz w:val="24"/>
          <w:szCs w:val="24"/>
        </w:rPr>
        <w:t>Inoltre, in un prossimo futuro tutti i concessionari DAF potranno disporre di una stazione di ricarica che potrà essere utilizzata sia dai loro clienti che da utilizzatori esterni</w:t>
      </w:r>
      <w:r w:rsidR="00801776">
        <w:rPr>
          <w:sz w:val="24"/>
          <w:szCs w:val="24"/>
        </w:rPr>
        <w:t>.</w:t>
      </w:r>
    </w:p>
    <w:p w14:paraId="74D90A21" w14:textId="038FC0CB" w:rsidR="00CB57C7" w:rsidRPr="000D7807" w:rsidRDefault="00C93F49" w:rsidP="00C93F49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TOPEC - Il veicolo ideale per ogni applicazione</w:t>
      </w:r>
      <w:r>
        <w:rPr>
          <w:rFonts w:ascii="Inter 28pt" w:hAnsi="Inter 28pt"/>
          <w:sz w:val="24"/>
        </w:rPr>
        <w:br/>
        <w:t>Per identificare il veicolo elettrico più adatto per i diversi scenari specifici, i concessionari DAF utilizzano il sistema TOPEC, che include tutte le configurazioni e le opzioni dei veicoli disponibili. Queste informazioni vengono combinate con le esigenze operative del cliente per creare simulazioni complete, indicando i percorsi ottimali, le modalità di ricarica ottimali delle batterie e la quantità di energia consumata dal veicolo. TOPEC è pertanto uno strumento importante per determinare la configurazione migliore del veicolo e raggiungere la massima efficienza per chilometro. Gli operatori del settore dei trasporti che desiderano scoprire i vantaggi offerti dalla gamma di veicoli elettrici DAF possono visitare il sito web di DAF. Tutte le versioni dei modelli XB, XD e XF Electric sono state completamente integrate nel Truck Configurator 3D.</w:t>
      </w:r>
    </w:p>
    <w:p w14:paraId="36C03FD0" w14:textId="5C145250" w:rsidR="00240019" w:rsidRPr="000D7807" w:rsidRDefault="00455E5E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lastRenderedPageBreak/>
        <w:t>Stazioni di ricarica e microreti personalizzate</w:t>
      </w:r>
      <w:r>
        <w:rPr>
          <w:rFonts w:ascii="Inter 28pt" w:hAnsi="Inter 28pt"/>
          <w:sz w:val="24"/>
        </w:rPr>
        <w:br/>
        <w:t>Oltre ai veicoli elettrici più all'avanguardia, DAF offre un'ampia gamma di stazioni di ricarica con potenze da 20 kW a 400 kW e la soluzione ottimale per ogni applicazione.</w:t>
      </w:r>
    </w:p>
    <w:p w14:paraId="6CC5159F" w14:textId="7A4A9274" w:rsidR="00240019" w:rsidRPr="000D7807" w:rsidRDefault="00240019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Sono disponibili caricabatterie PACCAR da 20 kW a 50 kW, particolarmente adatti per i veicoli che vengono caricati di sera o durante la notte al termine dei viaggi quotidiani. I caricabatterie da 120 kW e 180 kW sono progettati per una ricarica rapida e sono ideali per le flotte che utilizzano veicoli elettrici per più percorsi o con più turni. Il caricabatterie da 400 kW più potente è in grado di caricare completamente i veicoli in meno di due ore o persino caricare rapidamente due veicoli contemporaneamente. I caricabatterie mobili da 24 kW a 40 kW sono ideali per la ricarica temporanea, ad esempio a supporto dei test e delle dimostrazioni dei veicoli.</w:t>
      </w:r>
    </w:p>
    <w:p w14:paraId="7C60B058" w14:textId="50A81C17" w:rsidR="000F47F1" w:rsidRPr="000D7807" w:rsidRDefault="00650D12" w:rsidP="000F47F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Su richiesta del cliente, il servizio può essere ulteriormente ampliato per aggiungere consigli e supporto con l'implementazione di un'ampia "microrete", che può includere pannelli solari, un sistema di accumulo dell'energia della batteria (BESS), sistemi avanzati di gestione dell'energia (EMS) e caricabatterie rapidi. PACCAR Power Solutions inizia con la mappatura di elementi quali le dimensioni della flotta, l'implementazione, i programmi di ricarica, i requisiti energetici di picco e i tassi di energia. Anche l'eventuale eccesso di elettricità generata autonomamente e la capacità della rete locale fanno parte di questa indagine iniziale.</w:t>
      </w:r>
    </w:p>
    <w:p w14:paraId="02BC0D7E" w14:textId="3321A193" w:rsidR="001D6315" w:rsidRPr="000D7807" w:rsidRDefault="000F47F1" w:rsidP="009C6652">
      <w:pPr>
        <w:pStyle w:val="Body"/>
        <w:spacing w:before="240" w:line="360" w:lineRule="auto"/>
        <w:rPr>
          <w:rFonts w:ascii="Inter 28pt" w:hAnsi="Inter 28pt" w:cs="Arial"/>
          <w:b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t>Formazione specifica per i conducenti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Durante la consegna di un veicolo elettrico, il concessionario DAF pone un accento particolare alla fornitura di tutte le istruzioni necessarie al conducente, per consentire a quest'ultimo di sfruttare al massimo ogni singolo kWh di elettricità. Durante la consegna del veicolo, tutti i componenti in ingresso e in uscita dal veicolo elettrico vengono spiegati nei dettagli, con particolare attenzione all'avviamento, alla guida, all'utilizzo e alla ricarica delle batterie del veicolo.</w:t>
      </w:r>
    </w:p>
    <w:p w14:paraId="4D29C2C4" w14:textId="2C78E289" w:rsidR="001D6315" w:rsidRPr="000D7807" w:rsidRDefault="001D6315" w:rsidP="001D631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 w:rsidRPr="6F4756C5">
        <w:rPr>
          <w:sz w:val="24"/>
          <w:szCs w:val="24"/>
        </w:rPr>
        <w:t xml:space="preserve">Inoltre, i clienti e i conducenti possono utilizzare il voucher per la formazione dei conducenti DAF per ottimizzare l'efficienza energetica dei veicoli DAF Electric. </w:t>
      </w:r>
      <w:r w:rsidRPr="6F4756C5">
        <w:rPr>
          <w:sz w:val="24"/>
          <w:szCs w:val="24"/>
        </w:rPr>
        <w:lastRenderedPageBreak/>
        <w:t>Durante i corsi di formazione vengono forniti consigli sulla scelta del momento giusto per caricare le batterie e sull'ottimizzazione di aspetti come la frenata rigenerativa e i movimenti per inerzia del veicolo, con l'obiettiv</w:t>
      </w:r>
      <w:r w:rsidR="775A49DA" w:rsidRPr="6F4756C5">
        <w:rPr>
          <w:sz w:val="24"/>
          <w:szCs w:val="24"/>
        </w:rPr>
        <w:t>o</w:t>
      </w:r>
      <w:r w:rsidRPr="6F4756C5">
        <w:rPr>
          <w:sz w:val="24"/>
          <w:szCs w:val="24"/>
        </w:rPr>
        <w:t xml:space="preserve"> di raggiungere la massima efficienza di trasporto.</w:t>
      </w:r>
    </w:p>
    <w:p w14:paraId="353BF5E2" w14:textId="38ABD021" w:rsidR="00745962" w:rsidRPr="000D7807" w:rsidRDefault="001D6315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PACCAR Connect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Tutti i veicoli DAF completamente elettrici sono collegati alla nuova piattaforma di gestione delle flotte online PACCAR Connect, che consente di monitorare le prestazioni dei veicoli e dei conducenti 24 ore su 24. PACCAR Connect contribuisce a ottimizzare la redditività delle aziende.</w:t>
      </w:r>
    </w:p>
    <w:p w14:paraId="2775C0E7" w14:textId="5A3F5D26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Uno dei principali vantaggi di PACCAR Connect è che le applicazioni logistiche esistenti di terze parti possono utilizzare i dati provenienti dal portale online. Ciò semplifica il monitoraggio di tutti i processi logistici e delle prestazioni della flotta da un computer, da un laptop e persino da una tablet. Le funzionalità specifiche per i veicoli elettrici includono i report sul consumo corrente di elettricità, lo stato corrente della batteria e l'autonomia residua, dati importanti per pianificare i percorsi in maniera efficiente.</w:t>
      </w:r>
    </w:p>
    <w:p w14:paraId="43989A9F" w14:textId="5DEAD539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Inoltre, PACCAR Connect semplifica e ottimizza il lavoro dei conducenti. I servizi mobili di PACCAR Connect sono collegati al sistema DAF Truck Navigation. Ciò significa che i nuovi percorsi, definiti dalla base di partenza, possono essere inoltrati facilmente e direttamente a DAF Truck Navigation. Le stazioni di ricarica pubbliche disponibili sono visibili a colpo d'occhio.</w:t>
      </w:r>
    </w:p>
    <w:p w14:paraId="547EF427" w14:textId="57AB31C2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Il modulo Stato del veicolo opzionale, disponibile anche per i veicoli elettrici, invia alla sede una panoramica delle condizioni del veicolo, inclusi messaggi aggiornati sul cruscotto e una data indicativa del successivo intervento di manutenzione.</w:t>
      </w:r>
    </w:p>
    <w:p w14:paraId="670C7EF1" w14:textId="13899985" w:rsidR="00B04A04" w:rsidRPr="000D7807" w:rsidRDefault="000C61D2" w:rsidP="000C61D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"DAF Transport Efficiency - La redditività dei nostri clienti è il nostro obiettivo" è il modo in cui Bart Bosmans, membro del Consiglio di amministrazione e responsabile del marketing e delle vendite di DAF riassume l'approccio adottato. "Questo vale anche per l'ampia gamma di veicoli e servizi che offriamo per supportare al meglio i </w:t>
      </w:r>
      <w:r>
        <w:rPr>
          <w:rFonts w:ascii="Inter 28pt" w:hAnsi="Inter 28pt"/>
          <w:sz w:val="24"/>
        </w:rPr>
        <w:lastRenderedPageBreak/>
        <w:t>nostri clienti nella transizione energetica. Ciò include tariffe allettanti per i contratti di riparazione e manutenzione DAF MultiSupport e i finanziamenti PACCAR Financial, per fare solo due esempi.</w:t>
      </w:r>
    </w:p>
    <w:p w14:paraId="747BCAFE" w14:textId="77777777" w:rsidR="00F07377" w:rsidRPr="000D7807" w:rsidRDefault="00F07377" w:rsidP="00C83643">
      <w:pPr>
        <w:spacing w:line="360" w:lineRule="auto"/>
        <w:rPr>
          <w:rFonts w:ascii="Inter 28pt" w:hAnsi="Inter 28pt"/>
          <w:i/>
          <w:sz w:val="24"/>
        </w:rPr>
      </w:pPr>
    </w:p>
    <w:p w14:paraId="2B8853FA" w14:textId="77777777" w:rsidR="00702C26" w:rsidRPr="000D7807" w:rsidRDefault="00702C26" w:rsidP="00702C26">
      <w:pPr>
        <w:rPr>
          <w:rFonts w:ascii="Inter 28pt" w:hAnsi="Inter 28pt" w:cs="Arial"/>
          <w:sz w:val="18"/>
          <w:szCs w:val="18"/>
        </w:rPr>
      </w:pP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- Come consociata interamente controllata di PACCAR Inc, azienda tecnologica globale che progetta e produce veicoli leggeri, medi e pesanti, DAF fornisce una gamma completa di trattori e cabinati e offre il veicolo giusto per ogni tipo di trasporto. DAF è anche leader nel campo dei servizi, inclusi contratti di riparazione e manutenzione MultiSupport, servizi finanziari PACCAR Financial e un servizio di fornitura ricambi di prima classe, PACCAR Parts.</w:t>
      </w:r>
    </w:p>
    <w:p w14:paraId="280A58F1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3002D517" w14:textId="18847804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Eindhoven, settembre 2025</w:t>
      </w:r>
    </w:p>
    <w:p w14:paraId="77B5AE64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0FF026C5" w14:textId="77777777" w:rsidR="00702C26" w:rsidRPr="000D7807" w:rsidRDefault="00702C26" w:rsidP="00702C26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Nota per i redattori</w:t>
      </w:r>
    </w:p>
    <w:p w14:paraId="0B0C1189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Per ulteriori informazioni:</w:t>
      </w:r>
    </w:p>
    <w:p w14:paraId="6909708F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2A301C34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Reparto comunicazioni aziendali</w:t>
      </w:r>
    </w:p>
    <w:p w14:paraId="12B6D335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Rutger Kerstiens, +31 (0)40 214 2874</w:t>
      </w:r>
    </w:p>
    <w:p w14:paraId="2771BE45" w14:textId="2B6874D9" w:rsidR="005C3F0B" w:rsidRDefault="00702C26" w:rsidP="00BE5C36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4A723BCB" w14:textId="77777777" w:rsidR="000D55AA" w:rsidRDefault="000D55AA" w:rsidP="00BE5C36">
      <w:pPr>
        <w:spacing w:line="276" w:lineRule="auto"/>
      </w:pPr>
    </w:p>
    <w:p w14:paraId="0F52083B" w14:textId="77777777" w:rsidR="000D55AA" w:rsidRDefault="000D55AA" w:rsidP="000D55AA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DAF Veicoli Industriali S.p.A.</w:t>
      </w:r>
    </w:p>
    <w:p w14:paraId="591265A5" w14:textId="77777777" w:rsidR="000D55AA" w:rsidRDefault="000D55AA" w:rsidP="000D55AA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Marketing e Comunicazione</w:t>
      </w:r>
    </w:p>
    <w:p w14:paraId="31D25D35" w14:textId="77777777" w:rsidR="000D55AA" w:rsidRDefault="000D55AA" w:rsidP="000D55AA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Mauro Monfredini +39 334-6491301</w:t>
      </w:r>
    </w:p>
    <w:p w14:paraId="6E4E942A" w14:textId="77777777" w:rsidR="000D55AA" w:rsidRDefault="000D55AA" w:rsidP="000D55AA">
      <w:pPr>
        <w:rPr>
          <w:rFonts w:ascii="Inter 28pt" w:hAnsi="Inter 28pt"/>
          <w:sz w:val="24"/>
        </w:rPr>
      </w:pPr>
      <w:hyperlink r:id="rId14" w:history="1">
        <w:r>
          <w:rPr>
            <w:rStyle w:val="Hyperlink"/>
            <w:rFonts w:ascii="Inter 28pt" w:hAnsi="Inter 28pt"/>
            <w:sz w:val="24"/>
          </w:rPr>
          <w:t>www.daftrucks.it</w:t>
        </w:r>
      </w:hyperlink>
      <w:r>
        <w:rPr>
          <w:rFonts w:ascii="Inter 28pt" w:hAnsi="Inter 28pt"/>
          <w:sz w:val="24"/>
        </w:rPr>
        <w:t xml:space="preserve"> </w:t>
      </w:r>
    </w:p>
    <w:p w14:paraId="57970E43" w14:textId="77777777" w:rsidR="000D55AA" w:rsidRDefault="000D55AA" w:rsidP="000D55AA"/>
    <w:p w14:paraId="328CC4DB" w14:textId="77777777" w:rsidR="000D55AA" w:rsidRPr="000D7807" w:rsidRDefault="000D55AA" w:rsidP="00BE5C36">
      <w:pPr>
        <w:spacing w:line="276" w:lineRule="auto"/>
        <w:rPr>
          <w:rFonts w:ascii="Inter 28pt" w:hAnsi="Inter 28pt"/>
          <w:sz w:val="24"/>
        </w:rPr>
      </w:pPr>
    </w:p>
    <w:sectPr w:rsidR="000D55AA" w:rsidRPr="000D7807" w:rsidSect="001421EB">
      <w:headerReference w:type="default" r:id="rId15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73A3" w14:textId="77777777" w:rsidR="002C3E96" w:rsidRDefault="002C3E96">
      <w:r>
        <w:separator/>
      </w:r>
    </w:p>
  </w:endnote>
  <w:endnote w:type="continuationSeparator" w:id="0">
    <w:p w14:paraId="3677F984" w14:textId="77777777" w:rsidR="002C3E96" w:rsidRDefault="002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11A7" w14:textId="77777777" w:rsidR="002C3E96" w:rsidRDefault="002C3E96">
      <w:r>
        <w:separator/>
      </w:r>
    </w:p>
  </w:footnote>
  <w:footnote w:type="continuationSeparator" w:id="0">
    <w:p w14:paraId="51296E9E" w14:textId="77777777" w:rsidR="002C3E96" w:rsidRDefault="002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B44C" w14:textId="77777777" w:rsidR="00F74F0C" w:rsidRDefault="00F74F0C" w:rsidP="00F74F0C">
    <w:pPr>
      <w:pStyle w:val="HeaderTextLeft"/>
      <w:framePr w:w="6967" w:h="1265" w:hRule="exact" w:wrap="around" w:x="624" w:y="376"/>
      <w:spacing w:before="120" w:line="420" w:lineRule="exact"/>
      <w:rPr>
        <w:b w:val="0"/>
      </w:rPr>
    </w:pPr>
  </w:p>
  <w:p w14:paraId="0A33AFEA" w14:textId="77777777" w:rsidR="00F74F0C" w:rsidRPr="0077358E" w:rsidRDefault="00F74F0C" w:rsidP="00F74F0C">
    <w:pPr>
      <w:pStyle w:val="HeaderTextLeft"/>
      <w:framePr w:w="6967" w:h="1265" w:hRule="exact" w:wrap="around" w:x="624" w:y="376"/>
      <w:spacing w:line="420" w:lineRule="exact"/>
      <w:rPr>
        <w:b w:val="0"/>
      </w:rPr>
    </w:pPr>
    <w:r w:rsidRPr="00BD3C13">
      <w:rPr>
        <w:b w:val="0"/>
      </w:rPr>
      <w:t>Comunicato 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F74F0C" w14:paraId="4D730C10" w14:textId="77777777" w:rsidTr="00592132">
      <w:trPr>
        <w:trHeight w:val="1249"/>
      </w:trPr>
      <w:tc>
        <w:tcPr>
          <w:tcW w:w="2553" w:type="dxa"/>
        </w:tcPr>
        <w:p w14:paraId="7BF0517C" w14:textId="77777777" w:rsidR="00F74F0C" w:rsidRDefault="00F74F0C" w:rsidP="00F74F0C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28584C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4pt;height:57.6pt">
                <v:imagedata r:id="rId1" o:title=""/>
              </v:shape>
              <o:OLEObject Type="Embed" ProgID="PBrush" ShapeID="_x0000_i1025" DrawAspect="Content" ObjectID="_1817635089" r:id="rId2"/>
            </w:object>
          </w:r>
        </w:p>
      </w:tc>
    </w:tr>
    <w:tr w:rsidR="00F74F0C" w:rsidRPr="00C54346" w14:paraId="6998808A" w14:textId="77777777" w:rsidTr="00592132">
      <w:trPr>
        <w:trHeight w:hRule="exact" w:val="264"/>
      </w:trPr>
      <w:tc>
        <w:tcPr>
          <w:tcW w:w="2553" w:type="dxa"/>
        </w:tcPr>
        <w:p w14:paraId="51A2B221" w14:textId="77777777" w:rsidR="00F74F0C" w:rsidRDefault="00F74F0C" w:rsidP="00F74F0C">
          <w:pPr>
            <w:pStyle w:val="KoptekstLogoCompanyAddress"/>
            <w:framePr w:wrap="around"/>
          </w:pPr>
          <w:r>
            <w:rPr>
              <w:lang w:val="cs-CZ"/>
            </w:rPr>
            <w:t>Via Del Mulino, 1</w:t>
          </w:r>
        </w:p>
      </w:tc>
    </w:tr>
    <w:tr w:rsidR="00F74F0C" w14:paraId="7407BAB0" w14:textId="77777777" w:rsidTr="00592132">
      <w:trPr>
        <w:trHeight w:hRule="exact" w:val="264"/>
      </w:trPr>
      <w:tc>
        <w:tcPr>
          <w:tcW w:w="2553" w:type="dxa"/>
        </w:tcPr>
        <w:p w14:paraId="1A882532" w14:textId="77777777" w:rsidR="00F74F0C" w:rsidRDefault="00F74F0C" w:rsidP="00F74F0C">
          <w:pPr>
            <w:pStyle w:val="KoptekstLogoCompanyAddress"/>
            <w:framePr w:wrap="around"/>
          </w:pPr>
          <w:r>
            <w:rPr>
              <w:lang w:val="cs-CZ"/>
            </w:rPr>
            <w:t>20090  Assago (MI)</w:t>
          </w:r>
        </w:p>
      </w:tc>
    </w:tr>
    <w:tr w:rsidR="00F74F0C" w14:paraId="658D1A9E" w14:textId="77777777" w:rsidTr="00592132">
      <w:trPr>
        <w:trHeight w:hRule="exact" w:val="264"/>
      </w:trPr>
      <w:tc>
        <w:tcPr>
          <w:tcW w:w="2553" w:type="dxa"/>
        </w:tcPr>
        <w:p w14:paraId="6791F5BC" w14:textId="77777777" w:rsidR="00F74F0C" w:rsidRPr="00021AA0" w:rsidRDefault="00F74F0C" w:rsidP="00F74F0C">
          <w:pPr>
            <w:pStyle w:val="KoptekstLogoCompanyAddress"/>
            <w:framePr w:wrap="around"/>
          </w:pPr>
        </w:p>
      </w:tc>
    </w:tr>
    <w:tr w:rsidR="00F74F0C" w14:paraId="317489EE" w14:textId="77777777" w:rsidTr="00592132">
      <w:trPr>
        <w:trHeight w:hRule="exact" w:val="264"/>
      </w:trPr>
      <w:tc>
        <w:tcPr>
          <w:tcW w:w="2553" w:type="dxa"/>
        </w:tcPr>
        <w:p w14:paraId="7142F9C2" w14:textId="77777777" w:rsidR="00F74F0C" w:rsidRDefault="00F74F0C" w:rsidP="00F74F0C">
          <w:pPr>
            <w:pStyle w:val="KoptekstLogoCompanyAddress"/>
            <w:framePr w:wrap="around"/>
          </w:pPr>
        </w:p>
      </w:tc>
    </w:tr>
    <w:tr w:rsidR="00F74F0C" w14:paraId="3F93D315" w14:textId="77777777" w:rsidTr="00592132">
      <w:trPr>
        <w:trHeight w:hRule="exact" w:val="264"/>
      </w:trPr>
      <w:tc>
        <w:tcPr>
          <w:tcW w:w="2553" w:type="dxa"/>
        </w:tcPr>
        <w:p w14:paraId="5EDC2C14" w14:textId="77777777" w:rsidR="00F74F0C" w:rsidRDefault="00F74F0C" w:rsidP="00F74F0C">
          <w:pPr>
            <w:pStyle w:val="KoptekstLogoCompanyAddress"/>
            <w:framePr w:wrap="around"/>
          </w:pPr>
          <w:r>
            <w:t>Tel : +39 02 484 29 1</w:t>
          </w:r>
        </w:p>
      </w:tc>
    </w:tr>
    <w:tr w:rsidR="00F74F0C" w14:paraId="25ACC0B3" w14:textId="77777777" w:rsidTr="00592132">
      <w:trPr>
        <w:trHeight w:hRule="exact" w:val="264"/>
      </w:trPr>
      <w:tc>
        <w:tcPr>
          <w:tcW w:w="2553" w:type="dxa"/>
        </w:tcPr>
        <w:p w14:paraId="2515A1F9" w14:textId="77777777" w:rsidR="00F74F0C" w:rsidRDefault="00F74F0C" w:rsidP="00F74F0C">
          <w:pPr>
            <w:pStyle w:val="KoptekstLogoCompanyAddress"/>
            <w:framePr w:wrap="around"/>
          </w:pPr>
          <w:r>
            <w:t xml:space="preserve">Internet: </w:t>
          </w:r>
          <w:hyperlink r:id="rId3" w:history="1">
            <w:r w:rsidRPr="00AC7158">
              <w:rPr>
                <w:rStyle w:val="Hyperlink"/>
              </w:rPr>
              <w:t>www.daf.it</w:t>
            </w:r>
          </w:hyperlink>
        </w:p>
        <w:p w14:paraId="49F3A306" w14:textId="77777777" w:rsidR="00F74F0C" w:rsidRDefault="00F74F0C" w:rsidP="00F74F0C">
          <w:pPr>
            <w:pStyle w:val="KoptekstLogoCompanyAddress"/>
            <w:framePr w:wrap="around"/>
          </w:pPr>
        </w:p>
        <w:p w14:paraId="22C207A8" w14:textId="77777777" w:rsidR="00F74F0C" w:rsidRDefault="00F74F0C" w:rsidP="00F74F0C">
          <w:pPr>
            <w:pStyle w:val="KoptekstLogoCompanyAddress"/>
            <w:framePr w:wrap="around"/>
          </w:pPr>
        </w:p>
        <w:p w14:paraId="08AC6FC8" w14:textId="77777777" w:rsidR="00F74F0C" w:rsidRDefault="00F74F0C" w:rsidP="00F74F0C">
          <w:pPr>
            <w:pStyle w:val="KoptekstLogoCompanyAddress"/>
            <w:framePr w:wrap="around"/>
          </w:pPr>
        </w:p>
        <w:p w14:paraId="5A490487" w14:textId="77777777" w:rsidR="00F74F0C" w:rsidRDefault="00F74F0C" w:rsidP="00F74F0C">
          <w:pPr>
            <w:pStyle w:val="KoptekstLogoCompanyAddress"/>
            <w:framePr w:wrap="around"/>
          </w:pPr>
        </w:p>
        <w:p w14:paraId="3E3F83B6" w14:textId="77777777" w:rsidR="00F74F0C" w:rsidRDefault="00F74F0C" w:rsidP="00F74F0C">
          <w:pPr>
            <w:pStyle w:val="KoptekstLogoCompanyAddress"/>
            <w:framePr w:wrap="around"/>
          </w:pPr>
        </w:p>
      </w:tc>
    </w:tr>
    <w:tr w:rsidR="00F74F0C" w14:paraId="370FDA06" w14:textId="77777777" w:rsidTr="00592132">
      <w:trPr>
        <w:trHeight w:hRule="exact" w:val="264"/>
      </w:trPr>
      <w:tc>
        <w:tcPr>
          <w:tcW w:w="2553" w:type="dxa"/>
        </w:tcPr>
        <w:p w14:paraId="6F6955DC" w14:textId="77777777" w:rsidR="00F74F0C" w:rsidRDefault="00F74F0C" w:rsidP="00F74F0C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0EC27D90" wp14:editId="3361ED66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2BF0D1" w14:textId="77777777" w:rsidR="00F74F0C" w:rsidRDefault="00F74F0C" w:rsidP="00F74F0C">
    <w:pPr>
      <w:pStyle w:val="Koptekst"/>
    </w:pPr>
  </w:p>
  <w:p w14:paraId="62D0595B" w14:textId="77777777" w:rsidR="0077358E" w:rsidRPr="00F74F0C" w:rsidRDefault="0077358E" w:rsidP="00F74F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5C8CBA06"/>
    <w:lvl w:ilvl="0" w:tplc="098C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231347">
    <w:abstractNumId w:val="1"/>
  </w:num>
  <w:num w:numId="2" w16cid:durableId="780421893">
    <w:abstractNumId w:val="0"/>
  </w:num>
  <w:num w:numId="3" w16cid:durableId="112689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14A27"/>
    <w:rsid w:val="00027B85"/>
    <w:rsid w:val="00040273"/>
    <w:rsid w:val="0004239E"/>
    <w:rsid w:val="00045748"/>
    <w:rsid w:val="000462BF"/>
    <w:rsid w:val="000544FF"/>
    <w:rsid w:val="00054C58"/>
    <w:rsid w:val="00054E48"/>
    <w:rsid w:val="000557F1"/>
    <w:rsid w:val="00070003"/>
    <w:rsid w:val="0007591D"/>
    <w:rsid w:val="000764AB"/>
    <w:rsid w:val="00087EE7"/>
    <w:rsid w:val="000B3DDE"/>
    <w:rsid w:val="000C61D2"/>
    <w:rsid w:val="000D02EB"/>
    <w:rsid w:val="000D55AA"/>
    <w:rsid w:val="000D7807"/>
    <w:rsid w:val="000F0B46"/>
    <w:rsid w:val="000F47F1"/>
    <w:rsid w:val="00103134"/>
    <w:rsid w:val="00105BFD"/>
    <w:rsid w:val="00110192"/>
    <w:rsid w:val="00110D7A"/>
    <w:rsid w:val="00112FE6"/>
    <w:rsid w:val="00115E1C"/>
    <w:rsid w:val="00120FF0"/>
    <w:rsid w:val="00124878"/>
    <w:rsid w:val="001309C4"/>
    <w:rsid w:val="001347ED"/>
    <w:rsid w:val="00134A01"/>
    <w:rsid w:val="00134F7C"/>
    <w:rsid w:val="001421EB"/>
    <w:rsid w:val="001539FE"/>
    <w:rsid w:val="00157930"/>
    <w:rsid w:val="00184503"/>
    <w:rsid w:val="00185A59"/>
    <w:rsid w:val="00185D58"/>
    <w:rsid w:val="001866EE"/>
    <w:rsid w:val="001911AB"/>
    <w:rsid w:val="001A35CB"/>
    <w:rsid w:val="001A36F8"/>
    <w:rsid w:val="001A569E"/>
    <w:rsid w:val="001B25AB"/>
    <w:rsid w:val="001B6D31"/>
    <w:rsid w:val="001C03AE"/>
    <w:rsid w:val="001C041A"/>
    <w:rsid w:val="001C3C7C"/>
    <w:rsid w:val="001D6315"/>
    <w:rsid w:val="001E077B"/>
    <w:rsid w:val="001E52BD"/>
    <w:rsid w:val="001E5397"/>
    <w:rsid w:val="001E6B1F"/>
    <w:rsid w:val="001F3730"/>
    <w:rsid w:val="001F5404"/>
    <w:rsid w:val="00201FC6"/>
    <w:rsid w:val="002022B8"/>
    <w:rsid w:val="0020559E"/>
    <w:rsid w:val="002114F8"/>
    <w:rsid w:val="00212217"/>
    <w:rsid w:val="00214FDF"/>
    <w:rsid w:val="00215188"/>
    <w:rsid w:val="002177AC"/>
    <w:rsid w:val="0022411A"/>
    <w:rsid w:val="00240019"/>
    <w:rsid w:val="00245E40"/>
    <w:rsid w:val="002511C1"/>
    <w:rsid w:val="00256771"/>
    <w:rsid w:val="00264421"/>
    <w:rsid w:val="002657BA"/>
    <w:rsid w:val="0027045F"/>
    <w:rsid w:val="00274B16"/>
    <w:rsid w:val="00280BA6"/>
    <w:rsid w:val="00285635"/>
    <w:rsid w:val="0029194F"/>
    <w:rsid w:val="002A004A"/>
    <w:rsid w:val="002A70C6"/>
    <w:rsid w:val="002A7CA0"/>
    <w:rsid w:val="002B0BC9"/>
    <w:rsid w:val="002B1CD5"/>
    <w:rsid w:val="002B2168"/>
    <w:rsid w:val="002B35B9"/>
    <w:rsid w:val="002C091A"/>
    <w:rsid w:val="002C141F"/>
    <w:rsid w:val="002C1F82"/>
    <w:rsid w:val="002C3E96"/>
    <w:rsid w:val="002C4523"/>
    <w:rsid w:val="002D5C53"/>
    <w:rsid w:val="002E0733"/>
    <w:rsid w:val="002E1C61"/>
    <w:rsid w:val="002E4195"/>
    <w:rsid w:val="002E7745"/>
    <w:rsid w:val="00302A48"/>
    <w:rsid w:val="00306CFB"/>
    <w:rsid w:val="00314EFC"/>
    <w:rsid w:val="00317C7C"/>
    <w:rsid w:val="0032554F"/>
    <w:rsid w:val="00327210"/>
    <w:rsid w:val="003361CF"/>
    <w:rsid w:val="00340288"/>
    <w:rsid w:val="00346AAD"/>
    <w:rsid w:val="003471FD"/>
    <w:rsid w:val="003530C5"/>
    <w:rsid w:val="00361AFC"/>
    <w:rsid w:val="00363753"/>
    <w:rsid w:val="0036585E"/>
    <w:rsid w:val="00366A9B"/>
    <w:rsid w:val="00371271"/>
    <w:rsid w:val="0037439C"/>
    <w:rsid w:val="00375404"/>
    <w:rsid w:val="003836DA"/>
    <w:rsid w:val="00385E8D"/>
    <w:rsid w:val="00396CF7"/>
    <w:rsid w:val="003B26BF"/>
    <w:rsid w:val="003B315F"/>
    <w:rsid w:val="003C3CF0"/>
    <w:rsid w:val="003C59AE"/>
    <w:rsid w:val="003E004E"/>
    <w:rsid w:val="003E03CE"/>
    <w:rsid w:val="003E320D"/>
    <w:rsid w:val="003E3325"/>
    <w:rsid w:val="003E4A56"/>
    <w:rsid w:val="003F2226"/>
    <w:rsid w:val="00405FEC"/>
    <w:rsid w:val="0041287A"/>
    <w:rsid w:val="00415293"/>
    <w:rsid w:val="004177F4"/>
    <w:rsid w:val="00424904"/>
    <w:rsid w:val="0042588F"/>
    <w:rsid w:val="00427317"/>
    <w:rsid w:val="00433BA4"/>
    <w:rsid w:val="0044384A"/>
    <w:rsid w:val="00443CD4"/>
    <w:rsid w:val="00447AC9"/>
    <w:rsid w:val="00454711"/>
    <w:rsid w:val="00455E5E"/>
    <w:rsid w:val="00464E2C"/>
    <w:rsid w:val="004673AC"/>
    <w:rsid w:val="00484CC8"/>
    <w:rsid w:val="00486043"/>
    <w:rsid w:val="00490D22"/>
    <w:rsid w:val="004916DC"/>
    <w:rsid w:val="004943E8"/>
    <w:rsid w:val="00495272"/>
    <w:rsid w:val="004A2033"/>
    <w:rsid w:val="004B0953"/>
    <w:rsid w:val="004B4A0B"/>
    <w:rsid w:val="004B52CA"/>
    <w:rsid w:val="004D74C2"/>
    <w:rsid w:val="004E4E25"/>
    <w:rsid w:val="004E53ED"/>
    <w:rsid w:val="004E5A3B"/>
    <w:rsid w:val="004F3061"/>
    <w:rsid w:val="00501E0D"/>
    <w:rsid w:val="00504F20"/>
    <w:rsid w:val="005111CA"/>
    <w:rsid w:val="005119E5"/>
    <w:rsid w:val="00512147"/>
    <w:rsid w:val="005133AC"/>
    <w:rsid w:val="005212A0"/>
    <w:rsid w:val="00524C60"/>
    <w:rsid w:val="00532139"/>
    <w:rsid w:val="00533828"/>
    <w:rsid w:val="00537EB2"/>
    <w:rsid w:val="005440D2"/>
    <w:rsid w:val="00550AF3"/>
    <w:rsid w:val="00555496"/>
    <w:rsid w:val="00557963"/>
    <w:rsid w:val="005714A9"/>
    <w:rsid w:val="0057445D"/>
    <w:rsid w:val="00577A05"/>
    <w:rsid w:val="00577FE3"/>
    <w:rsid w:val="00580286"/>
    <w:rsid w:val="005806BC"/>
    <w:rsid w:val="005821A6"/>
    <w:rsid w:val="00582751"/>
    <w:rsid w:val="005900B8"/>
    <w:rsid w:val="00597FD9"/>
    <w:rsid w:val="005A2415"/>
    <w:rsid w:val="005A7DE8"/>
    <w:rsid w:val="005C3F0B"/>
    <w:rsid w:val="005C7681"/>
    <w:rsid w:val="005D4CC4"/>
    <w:rsid w:val="005E06DC"/>
    <w:rsid w:val="005E781F"/>
    <w:rsid w:val="005F4299"/>
    <w:rsid w:val="005F5AFD"/>
    <w:rsid w:val="00602C71"/>
    <w:rsid w:val="006036F6"/>
    <w:rsid w:val="00605AC0"/>
    <w:rsid w:val="0062109D"/>
    <w:rsid w:val="00626054"/>
    <w:rsid w:val="00632C10"/>
    <w:rsid w:val="00634BF8"/>
    <w:rsid w:val="00634ECE"/>
    <w:rsid w:val="00637FD0"/>
    <w:rsid w:val="00644832"/>
    <w:rsid w:val="00650436"/>
    <w:rsid w:val="00650D12"/>
    <w:rsid w:val="006637CA"/>
    <w:rsid w:val="006856E7"/>
    <w:rsid w:val="0068624D"/>
    <w:rsid w:val="00691CE5"/>
    <w:rsid w:val="0069606B"/>
    <w:rsid w:val="006A55F9"/>
    <w:rsid w:val="006B1192"/>
    <w:rsid w:val="006C0497"/>
    <w:rsid w:val="006D01F7"/>
    <w:rsid w:val="006D0DA2"/>
    <w:rsid w:val="006D181F"/>
    <w:rsid w:val="006D5A30"/>
    <w:rsid w:val="006D65F2"/>
    <w:rsid w:val="006E17E8"/>
    <w:rsid w:val="006E6923"/>
    <w:rsid w:val="006E738E"/>
    <w:rsid w:val="006F1FB8"/>
    <w:rsid w:val="006F5AE2"/>
    <w:rsid w:val="00702C26"/>
    <w:rsid w:val="00703A05"/>
    <w:rsid w:val="00707AE4"/>
    <w:rsid w:val="00720636"/>
    <w:rsid w:val="00721491"/>
    <w:rsid w:val="00723D65"/>
    <w:rsid w:val="0072466C"/>
    <w:rsid w:val="00724DFA"/>
    <w:rsid w:val="00732443"/>
    <w:rsid w:val="0073418B"/>
    <w:rsid w:val="0073424C"/>
    <w:rsid w:val="007438BB"/>
    <w:rsid w:val="0074461B"/>
    <w:rsid w:val="00745962"/>
    <w:rsid w:val="00755562"/>
    <w:rsid w:val="007616DC"/>
    <w:rsid w:val="00770AE7"/>
    <w:rsid w:val="00773321"/>
    <w:rsid w:val="0077358E"/>
    <w:rsid w:val="00773BE8"/>
    <w:rsid w:val="007819ED"/>
    <w:rsid w:val="00782077"/>
    <w:rsid w:val="00782ABA"/>
    <w:rsid w:val="00786C99"/>
    <w:rsid w:val="0078759E"/>
    <w:rsid w:val="00787D6D"/>
    <w:rsid w:val="00795368"/>
    <w:rsid w:val="007A0503"/>
    <w:rsid w:val="007A54C5"/>
    <w:rsid w:val="007B153B"/>
    <w:rsid w:val="007C13FC"/>
    <w:rsid w:val="007D0271"/>
    <w:rsid w:val="007D14C4"/>
    <w:rsid w:val="007E3AC3"/>
    <w:rsid w:val="007E5DB2"/>
    <w:rsid w:val="007E6869"/>
    <w:rsid w:val="007F4239"/>
    <w:rsid w:val="007F53E7"/>
    <w:rsid w:val="00801776"/>
    <w:rsid w:val="00801FA9"/>
    <w:rsid w:val="00803895"/>
    <w:rsid w:val="0081103E"/>
    <w:rsid w:val="00815A29"/>
    <w:rsid w:val="00816FF0"/>
    <w:rsid w:val="008338B4"/>
    <w:rsid w:val="00833C45"/>
    <w:rsid w:val="00835429"/>
    <w:rsid w:val="00840DC4"/>
    <w:rsid w:val="00841C3B"/>
    <w:rsid w:val="0084635F"/>
    <w:rsid w:val="0084657C"/>
    <w:rsid w:val="00851339"/>
    <w:rsid w:val="0085325C"/>
    <w:rsid w:val="008535D0"/>
    <w:rsid w:val="00854FB3"/>
    <w:rsid w:val="00857322"/>
    <w:rsid w:val="00872BD9"/>
    <w:rsid w:val="00872EC6"/>
    <w:rsid w:val="008744CE"/>
    <w:rsid w:val="00875AD7"/>
    <w:rsid w:val="0088272F"/>
    <w:rsid w:val="0088710D"/>
    <w:rsid w:val="0089234F"/>
    <w:rsid w:val="00892565"/>
    <w:rsid w:val="0089499D"/>
    <w:rsid w:val="008A1A9D"/>
    <w:rsid w:val="008A4514"/>
    <w:rsid w:val="008A5E8F"/>
    <w:rsid w:val="008A5ED4"/>
    <w:rsid w:val="008B6A06"/>
    <w:rsid w:val="008C6D10"/>
    <w:rsid w:val="008D1D03"/>
    <w:rsid w:val="008E21A7"/>
    <w:rsid w:val="008E34CC"/>
    <w:rsid w:val="008E46B7"/>
    <w:rsid w:val="008F14AD"/>
    <w:rsid w:val="008F540A"/>
    <w:rsid w:val="00901176"/>
    <w:rsid w:val="00911790"/>
    <w:rsid w:val="00912C07"/>
    <w:rsid w:val="0091779D"/>
    <w:rsid w:val="00917F62"/>
    <w:rsid w:val="0092251D"/>
    <w:rsid w:val="00926886"/>
    <w:rsid w:val="00945FEC"/>
    <w:rsid w:val="00947BD0"/>
    <w:rsid w:val="0095332E"/>
    <w:rsid w:val="00957812"/>
    <w:rsid w:val="00963270"/>
    <w:rsid w:val="00967B96"/>
    <w:rsid w:val="009843D0"/>
    <w:rsid w:val="0099797B"/>
    <w:rsid w:val="009A0890"/>
    <w:rsid w:val="009A0BFA"/>
    <w:rsid w:val="009A1D47"/>
    <w:rsid w:val="009B0A89"/>
    <w:rsid w:val="009B4D45"/>
    <w:rsid w:val="009B6E5F"/>
    <w:rsid w:val="009C6652"/>
    <w:rsid w:val="009C6CBB"/>
    <w:rsid w:val="009D1734"/>
    <w:rsid w:val="009E2231"/>
    <w:rsid w:val="009F47BC"/>
    <w:rsid w:val="00A00145"/>
    <w:rsid w:val="00A17019"/>
    <w:rsid w:val="00A27CA2"/>
    <w:rsid w:val="00A43B98"/>
    <w:rsid w:val="00A50B44"/>
    <w:rsid w:val="00A54ECF"/>
    <w:rsid w:val="00A65D84"/>
    <w:rsid w:val="00A70D07"/>
    <w:rsid w:val="00A7277D"/>
    <w:rsid w:val="00A80792"/>
    <w:rsid w:val="00A83D03"/>
    <w:rsid w:val="00A87FFE"/>
    <w:rsid w:val="00A954CB"/>
    <w:rsid w:val="00A95A37"/>
    <w:rsid w:val="00AC0B92"/>
    <w:rsid w:val="00AC58F3"/>
    <w:rsid w:val="00AC61CB"/>
    <w:rsid w:val="00AC6766"/>
    <w:rsid w:val="00AD6EE9"/>
    <w:rsid w:val="00AD7847"/>
    <w:rsid w:val="00AD78E7"/>
    <w:rsid w:val="00AE2E38"/>
    <w:rsid w:val="00AF3D9B"/>
    <w:rsid w:val="00AF4B72"/>
    <w:rsid w:val="00B04A04"/>
    <w:rsid w:val="00B16083"/>
    <w:rsid w:val="00B35DF6"/>
    <w:rsid w:val="00B531C3"/>
    <w:rsid w:val="00B70617"/>
    <w:rsid w:val="00B776CD"/>
    <w:rsid w:val="00B81790"/>
    <w:rsid w:val="00B838EF"/>
    <w:rsid w:val="00B94779"/>
    <w:rsid w:val="00BA750F"/>
    <w:rsid w:val="00BB1FA8"/>
    <w:rsid w:val="00BB756C"/>
    <w:rsid w:val="00BC0BDD"/>
    <w:rsid w:val="00BC0F18"/>
    <w:rsid w:val="00BD4581"/>
    <w:rsid w:val="00BD5544"/>
    <w:rsid w:val="00BE1925"/>
    <w:rsid w:val="00BE5C36"/>
    <w:rsid w:val="00BF3D5C"/>
    <w:rsid w:val="00BF621A"/>
    <w:rsid w:val="00BF7110"/>
    <w:rsid w:val="00C0474A"/>
    <w:rsid w:val="00C15D3D"/>
    <w:rsid w:val="00C211C6"/>
    <w:rsid w:val="00C23A03"/>
    <w:rsid w:val="00C25503"/>
    <w:rsid w:val="00C3323E"/>
    <w:rsid w:val="00C33D9C"/>
    <w:rsid w:val="00C3604B"/>
    <w:rsid w:val="00C37940"/>
    <w:rsid w:val="00C60B3B"/>
    <w:rsid w:val="00C62615"/>
    <w:rsid w:val="00C63314"/>
    <w:rsid w:val="00C80571"/>
    <w:rsid w:val="00C83643"/>
    <w:rsid w:val="00C93F49"/>
    <w:rsid w:val="00C940EB"/>
    <w:rsid w:val="00C951E3"/>
    <w:rsid w:val="00C95615"/>
    <w:rsid w:val="00C97E77"/>
    <w:rsid w:val="00CA5C67"/>
    <w:rsid w:val="00CA622D"/>
    <w:rsid w:val="00CA7E03"/>
    <w:rsid w:val="00CB07A4"/>
    <w:rsid w:val="00CB3FD7"/>
    <w:rsid w:val="00CB57C7"/>
    <w:rsid w:val="00CC22C7"/>
    <w:rsid w:val="00CD0207"/>
    <w:rsid w:val="00CD5146"/>
    <w:rsid w:val="00CD6C8A"/>
    <w:rsid w:val="00CE4BF0"/>
    <w:rsid w:val="00D11070"/>
    <w:rsid w:val="00D20E4E"/>
    <w:rsid w:val="00D257E6"/>
    <w:rsid w:val="00D31F41"/>
    <w:rsid w:val="00D33E51"/>
    <w:rsid w:val="00D35F2D"/>
    <w:rsid w:val="00D41F62"/>
    <w:rsid w:val="00D441AB"/>
    <w:rsid w:val="00D446E2"/>
    <w:rsid w:val="00D52E2E"/>
    <w:rsid w:val="00D60591"/>
    <w:rsid w:val="00D60DE2"/>
    <w:rsid w:val="00D63305"/>
    <w:rsid w:val="00D662F6"/>
    <w:rsid w:val="00D87060"/>
    <w:rsid w:val="00D90992"/>
    <w:rsid w:val="00D92634"/>
    <w:rsid w:val="00DA3449"/>
    <w:rsid w:val="00DB0844"/>
    <w:rsid w:val="00DB0B11"/>
    <w:rsid w:val="00DB3391"/>
    <w:rsid w:val="00DB3E01"/>
    <w:rsid w:val="00DC1A19"/>
    <w:rsid w:val="00DC530E"/>
    <w:rsid w:val="00DC5792"/>
    <w:rsid w:val="00DC7A53"/>
    <w:rsid w:val="00DD1B58"/>
    <w:rsid w:val="00DD2D91"/>
    <w:rsid w:val="00DD4DA6"/>
    <w:rsid w:val="00DE11C1"/>
    <w:rsid w:val="00DE364D"/>
    <w:rsid w:val="00DE4269"/>
    <w:rsid w:val="00DE590F"/>
    <w:rsid w:val="00DE7373"/>
    <w:rsid w:val="00DF33E8"/>
    <w:rsid w:val="00E1477E"/>
    <w:rsid w:val="00E20F3B"/>
    <w:rsid w:val="00E219D5"/>
    <w:rsid w:val="00E43548"/>
    <w:rsid w:val="00E4756B"/>
    <w:rsid w:val="00E6277F"/>
    <w:rsid w:val="00E927BF"/>
    <w:rsid w:val="00E92842"/>
    <w:rsid w:val="00E92C64"/>
    <w:rsid w:val="00E93C41"/>
    <w:rsid w:val="00E97395"/>
    <w:rsid w:val="00EA25CC"/>
    <w:rsid w:val="00EA6D91"/>
    <w:rsid w:val="00EA7B2E"/>
    <w:rsid w:val="00EB040D"/>
    <w:rsid w:val="00EB2962"/>
    <w:rsid w:val="00EB3336"/>
    <w:rsid w:val="00EC23A7"/>
    <w:rsid w:val="00EC3E72"/>
    <w:rsid w:val="00EC6AB5"/>
    <w:rsid w:val="00ED2905"/>
    <w:rsid w:val="00ED3FBE"/>
    <w:rsid w:val="00ED572C"/>
    <w:rsid w:val="00ED6DC3"/>
    <w:rsid w:val="00ED7BB3"/>
    <w:rsid w:val="00EE7046"/>
    <w:rsid w:val="00EF1DE3"/>
    <w:rsid w:val="00EF33D2"/>
    <w:rsid w:val="00EF59D3"/>
    <w:rsid w:val="00EF6321"/>
    <w:rsid w:val="00F039BF"/>
    <w:rsid w:val="00F04C0F"/>
    <w:rsid w:val="00F07377"/>
    <w:rsid w:val="00F12AD4"/>
    <w:rsid w:val="00F22431"/>
    <w:rsid w:val="00F31433"/>
    <w:rsid w:val="00F3147D"/>
    <w:rsid w:val="00F33140"/>
    <w:rsid w:val="00F413AA"/>
    <w:rsid w:val="00F44E06"/>
    <w:rsid w:val="00F46490"/>
    <w:rsid w:val="00F5059E"/>
    <w:rsid w:val="00F5240D"/>
    <w:rsid w:val="00F53647"/>
    <w:rsid w:val="00F5380B"/>
    <w:rsid w:val="00F65B5D"/>
    <w:rsid w:val="00F66B43"/>
    <w:rsid w:val="00F7053F"/>
    <w:rsid w:val="00F7102D"/>
    <w:rsid w:val="00F74F0C"/>
    <w:rsid w:val="00F75D94"/>
    <w:rsid w:val="00F95316"/>
    <w:rsid w:val="00F9669E"/>
    <w:rsid w:val="00FA09E9"/>
    <w:rsid w:val="00FB0BA9"/>
    <w:rsid w:val="00FB62C4"/>
    <w:rsid w:val="00FC194A"/>
    <w:rsid w:val="00FC755C"/>
    <w:rsid w:val="00FD76B3"/>
    <w:rsid w:val="00FE0E74"/>
    <w:rsid w:val="00FE47B1"/>
    <w:rsid w:val="00FF06F5"/>
    <w:rsid w:val="00FF1B59"/>
    <w:rsid w:val="00FF4537"/>
    <w:rsid w:val="00FF4FFA"/>
    <w:rsid w:val="00FF5873"/>
    <w:rsid w:val="00FF5FFC"/>
    <w:rsid w:val="00FF7BBD"/>
    <w:rsid w:val="0E0BE628"/>
    <w:rsid w:val="107BC55A"/>
    <w:rsid w:val="22C3F410"/>
    <w:rsid w:val="325828F6"/>
    <w:rsid w:val="3D578AA5"/>
    <w:rsid w:val="42A7C806"/>
    <w:rsid w:val="4F725BC4"/>
    <w:rsid w:val="510E2C25"/>
    <w:rsid w:val="5FA9E09D"/>
    <w:rsid w:val="5FAA216A"/>
    <w:rsid w:val="6091D89C"/>
    <w:rsid w:val="644B8529"/>
    <w:rsid w:val="6B4C9AA7"/>
    <w:rsid w:val="6F4756C5"/>
    <w:rsid w:val="6F4807A1"/>
    <w:rsid w:val="775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A77EE895-6888-482C-B7AA-D91CE27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C63314"/>
  </w:style>
  <w:style w:type="character" w:styleId="Verwijzingopmerking">
    <w:name w:val="annotation reference"/>
    <w:basedOn w:val="Standaardalinea-lettertype"/>
    <w:semiHidden/>
    <w:unhideWhenUsed/>
    <w:rsid w:val="005A7D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7DE8"/>
  </w:style>
  <w:style w:type="character" w:customStyle="1" w:styleId="TekstopmerkingChar">
    <w:name w:val="Tekst opmerking Char"/>
    <w:basedOn w:val="Standaardalinea-lettertype"/>
    <w:link w:val="Tekstopmerking"/>
    <w:rsid w:val="005A7D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7D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7DE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8B4"/>
    <w:rPr>
      <w:color w:val="605E5C"/>
      <w:shd w:val="clear" w:color="auto" w:fill="E1DFDD"/>
    </w:rPr>
  </w:style>
  <w:style w:type="paragraph" w:styleId="Normaalweb">
    <w:name w:val="Normal (Web)"/>
    <w:basedOn w:val="Standaard"/>
    <w:semiHidden/>
    <w:unhideWhenUsed/>
    <w:rsid w:val="008E21A7"/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F7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9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9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ftruck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f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86C6F5D54C54A947CBED4A59E8FB4" ma:contentTypeVersion="6" ma:contentTypeDescription="Create a new document." ma:contentTypeScope="" ma:versionID="0d49904659960aeccee9595238f07337">
  <xsd:schema xmlns:xsd="http://www.w3.org/2001/XMLSchema" xmlns:xs="http://www.w3.org/2001/XMLSchema" xmlns:p="http://schemas.microsoft.com/office/2006/metadata/properties" xmlns:ns2="680e6426-6a27-44b7-96b1-fe89a44552de" xmlns:ns3="3c08aed0-118a-4dd8-85c6-f93452b3dee2" targetNamespace="http://schemas.microsoft.com/office/2006/metadata/properties" ma:root="true" ma:fieldsID="a54786e1daaf3f4a13a25bb2823dc334" ns2:_="" ns3:_="">
    <xsd:import namespace="680e6426-6a27-44b7-96b1-fe89a44552de"/>
    <xsd:import namespace="3c08aed0-118a-4dd8-85c6-f93452b3d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e6426-6a27-44b7-96b1-fe89a4455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aed0-118a-4dd8-85c6-f93452b3d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0278-3E2D-4FE8-9300-C98D70640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3CAD4-6FD6-4994-9023-1F038A8A8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e6426-6a27-44b7-96b1-fe89a44552de"/>
    <ds:schemaRef ds:uri="3c08aed0-118a-4dd8-85c6-f93452b3d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33E41-7A3F-40BD-AE36-D77FDD789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1352</Words>
  <Characters>7440</Characters>
  <Application>Microsoft Office Word</Application>
  <DocSecurity>0</DocSecurity>
  <Lines>62</Lines>
  <Paragraphs>17</Paragraphs>
  <ScaleCrop>false</ScaleCrop>
  <Company>PR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3</cp:revision>
  <cp:lastPrinted>2024-11-21T09:30:00Z</cp:lastPrinted>
  <dcterms:created xsi:type="dcterms:W3CDTF">2025-08-25T08:40:00Z</dcterms:created>
  <dcterms:modified xsi:type="dcterms:W3CDTF">2025-08-25T11:52:00Z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1e019f-b452-4968-a847-b0d6f05acbc0_Enabled">
    <vt:lpwstr>true</vt:lpwstr>
  </property>
  <property fmtid="{D5CDD505-2E9C-101B-9397-08002B2CF9AE}" pid="3" name="MSIP_Label_f71e019f-b452-4968-a847-b0d6f05acbc0_SetDate">
    <vt:lpwstr>2024-05-01T12:39:15Z</vt:lpwstr>
  </property>
  <property fmtid="{D5CDD505-2E9C-101B-9397-08002B2CF9AE}" pid="4" name="MSIP_Label_f71e019f-b452-4968-a847-b0d6f05acbc0_Method">
    <vt:lpwstr>Privileged</vt:lpwstr>
  </property>
  <property fmtid="{D5CDD505-2E9C-101B-9397-08002B2CF9AE}" pid="5" name="MSIP_Label_f71e019f-b452-4968-a847-b0d6f05acbc0_Name">
    <vt:lpwstr>f71e019f-b452-4968-a847-b0d6f05acbc0</vt:lpwstr>
  </property>
  <property fmtid="{D5CDD505-2E9C-101B-9397-08002B2CF9AE}" pid="6" name="MSIP_Label_f71e019f-b452-4968-a847-b0d6f05acbc0_SiteId">
    <vt:lpwstr>e201abf9-c5a3-43f8-8e29-135d4fe67e6b</vt:lpwstr>
  </property>
  <property fmtid="{D5CDD505-2E9C-101B-9397-08002B2CF9AE}" pid="7" name="MSIP_Label_f71e019f-b452-4968-a847-b0d6f05acbc0_ActionId">
    <vt:lpwstr>f7f1fd24-1bcb-4b29-99cb-586a5db5e401</vt:lpwstr>
  </property>
  <property fmtid="{D5CDD505-2E9C-101B-9397-08002B2CF9AE}" pid="8" name="MSIP_Label_f71e019f-b452-4968-a847-b0d6f05acbc0_ContentBits">
    <vt:lpwstr>0</vt:lpwstr>
  </property>
  <property fmtid="{D5CDD505-2E9C-101B-9397-08002B2CF9AE}" pid="9" name="ContentTypeId">
    <vt:lpwstr>0x01010042186C6F5D54C54A947CBED4A59E8FB4</vt:lpwstr>
  </property>
</Properties>
</file>