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Efficience, sécurité et confort maximum</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La Nouvelle Génération DAF XD Electric et XF Electric crée la référence</w:t>
      </w:r>
    </w:p>
    <w:p w14:paraId="48429200" w14:textId="3AF64D2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DAF Trucks lance la production en série des modèles entièrement électriques DAF XD Electric et XF Electric. De nouvelles chaînes cinématiques avancées associées à la conception extrêmement aérodynamique des véhicules permettent une autonomie de fonctionnement zéro émission de plus de 500 kilomètres avec une seule charge de batterie. De plus, ils définissent une nouvelle norme en matière de sécurité et de confort.</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Unités motrices PACCAR EX-D1 et PACCAR EX-D2 ultra-modernes</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Puissances de 170 kW (230 </w:t>
      </w:r>
      <w:proofErr w:type="spellStart"/>
      <w:r>
        <w:rPr>
          <w:rFonts w:ascii="Inter 28pt" w:hAnsi="Inter 28pt"/>
          <w:sz w:val="24"/>
        </w:rPr>
        <w:t>ch</w:t>
      </w:r>
      <w:proofErr w:type="spellEnd"/>
      <w:r>
        <w:rPr>
          <w:rFonts w:ascii="Inter 28pt" w:hAnsi="Inter 28pt"/>
          <w:sz w:val="24"/>
        </w:rPr>
        <w:t>) à 350 kW (480 </w:t>
      </w:r>
      <w:proofErr w:type="spellStart"/>
      <w:r>
        <w:rPr>
          <w:rFonts w:ascii="Inter 28pt" w:hAnsi="Inter 28pt"/>
          <w:sz w:val="24"/>
        </w:rPr>
        <w:t>ch</w:t>
      </w:r>
      <w:proofErr w:type="spellEnd"/>
      <w:r>
        <w:rPr>
          <w:rFonts w:ascii="Inter 28pt" w:hAnsi="Inter 28pt"/>
          <w:sz w:val="24"/>
        </w:rPr>
        <w:t>)</w:t>
      </w:r>
    </w:p>
    <w:p w14:paraId="17B1791F" w14:textId="146B8E9C"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 xml:space="preserve">Transmission à trois vitesses avec </w:t>
      </w:r>
      <w:r w:rsidR="00014B79">
        <w:rPr>
          <w:rFonts w:ascii="Inter 28pt" w:hAnsi="Inter 28pt"/>
          <w:sz w:val="24"/>
        </w:rPr>
        <w:t>train ép</w:t>
      </w:r>
      <w:r w:rsidR="00CC5BFA">
        <w:rPr>
          <w:rFonts w:ascii="Inter 28pt" w:hAnsi="Inter 28pt"/>
          <w:sz w:val="24"/>
        </w:rPr>
        <w:t>icy</w:t>
      </w:r>
      <w:r w:rsidR="00014B79">
        <w:rPr>
          <w:rFonts w:ascii="Inter 28pt" w:hAnsi="Inter 28pt"/>
          <w:sz w:val="24"/>
        </w:rPr>
        <w:t>cloïdal</w:t>
      </w:r>
      <w:r>
        <w:rPr>
          <w:rFonts w:ascii="Inter 28pt" w:hAnsi="Inter 28pt"/>
          <w:sz w:val="24"/>
        </w:rPr>
        <w:t> : légèreté, haute efficience, confort et changement de vitesse ultra-rapide</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Consommation d'énergie extrêmement faible</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Batteries modulaires sur mesure</w:t>
      </w:r>
    </w:p>
    <w:p w14:paraId="0A979F60" w14:textId="77BDAE7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Configurations </w:t>
      </w:r>
      <w:r w:rsidR="00811FA3">
        <w:rPr>
          <w:rFonts w:ascii="Inter 28pt" w:hAnsi="Inter 28pt"/>
          <w:sz w:val="24"/>
        </w:rPr>
        <w:t>de</w:t>
      </w:r>
      <w:r>
        <w:rPr>
          <w:rFonts w:ascii="Inter 28pt" w:hAnsi="Inter 28pt"/>
          <w:sz w:val="24"/>
        </w:rPr>
        <w:t xml:space="preserve"> deux à cinq batteries : de 210 à 525 kWh</w:t>
      </w:r>
    </w:p>
    <w:p w14:paraId="6DC7146D" w14:textId="0BC6F8D5"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Autonomie zéro émission allant de 200 à </w:t>
      </w:r>
      <w:r w:rsidR="001801E2">
        <w:rPr>
          <w:rFonts w:ascii="Inter 28pt" w:hAnsi="Inter 28pt"/>
          <w:sz w:val="24"/>
        </w:rPr>
        <w:t xml:space="preserve">plus de </w:t>
      </w:r>
      <w:r>
        <w:rPr>
          <w:rFonts w:ascii="Inter 28pt" w:hAnsi="Inter 28pt"/>
          <w:sz w:val="24"/>
        </w:rPr>
        <w:t>500 kilomètres</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Système de gestion des batteries intelligent</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Batteries totalement LFP</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Sans cobalt ni nickel</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Longue durée de vie, garantie de huit ans</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Rechargeable jusqu'à 100 % sans compromettre la durée de vie</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Sécurité exceptionnelle</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Convient à la charge CA et à la charge rapide CC</w:t>
      </w:r>
    </w:p>
    <w:p w14:paraId="34FC8A40" w14:textId="3792A3FF" w:rsidR="00785284" w:rsidRPr="00BB7D1E" w:rsidRDefault="004513E4"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Prédisposition</w:t>
      </w:r>
      <w:r w:rsidR="00E96FD7">
        <w:rPr>
          <w:rFonts w:ascii="Inter 28pt" w:hAnsi="Inter 28pt"/>
          <w:sz w:val="24"/>
        </w:rPr>
        <w:t xml:space="preserve"> exceptionnelle pour les carrossiers des châssis XD Electric et XF Electric</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Prise de force électrique de 650 V disponible en option</w:t>
      </w:r>
    </w:p>
    <w:p w14:paraId="730582A7" w14:textId="6D00A3E2" w:rsidR="003D657A" w:rsidRPr="00A74E78" w:rsidRDefault="003D657A" w:rsidP="00E01B91">
      <w:pPr>
        <w:pStyle w:val="Body"/>
        <w:numPr>
          <w:ilvl w:val="1"/>
          <w:numId w:val="3"/>
        </w:numPr>
        <w:spacing w:line="360" w:lineRule="auto"/>
        <w:rPr>
          <w:rFonts w:ascii="Inter 28pt" w:hAnsi="Inter 28pt" w:cstheme="minorBidi"/>
          <w:bCs/>
          <w:sz w:val="24"/>
          <w:szCs w:val="24"/>
          <w:lang w:val="en-US"/>
        </w:rPr>
      </w:pPr>
      <w:r w:rsidRPr="00A74E78">
        <w:rPr>
          <w:rFonts w:ascii="Inter 28pt" w:hAnsi="Inter 28pt"/>
          <w:sz w:val="24"/>
          <w:lang w:val="en-US"/>
        </w:rPr>
        <w:t xml:space="preserve">Pack </w:t>
      </w:r>
      <w:r w:rsidR="00A74E78" w:rsidRPr="00A74E78">
        <w:rPr>
          <w:rFonts w:ascii="Inter 28pt" w:hAnsi="Inter 28pt"/>
          <w:sz w:val="24"/>
          <w:lang w:val="en-US"/>
        </w:rPr>
        <w:t>Bolt</w:t>
      </w:r>
      <w:r w:rsidRPr="00A74E78">
        <w:rPr>
          <w:rFonts w:ascii="Inter 28pt" w:hAnsi="Inter 28pt"/>
          <w:sz w:val="24"/>
          <w:lang w:val="en-US"/>
        </w:rPr>
        <w:t xml:space="preserve"> &amp; </w:t>
      </w:r>
      <w:r w:rsidR="00EC5D93" w:rsidRPr="00A74E78">
        <w:rPr>
          <w:rFonts w:ascii="Inter 28pt" w:hAnsi="Inter 28pt"/>
          <w:sz w:val="24"/>
          <w:lang w:val="en-US"/>
        </w:rPr>
        <w:t>Play</w:t>
      </w:r>
      <w:r w:rsidRPr="00A74E78">
        <w:rPr>
          <w:rFonts w:ascii="Inter 28pt" w:hAnsi="Inter 28pt"/>
          <w:sz w:val="24"/>
          <w:lang w:val="en-US"/>
        </w:rPr>
        <w:t xml:space="preserve"> pour </w:t>
      </w:r>
      <w:proofErr w:type="spellStart"/>
      <w:r w:rsidRPr="00A74E78">
        <w:rPr>
          <w:rFonts w:ascii="Inter 28pt" w:hAnsi="Inter 28pt"/>
          <w:sz w:val="24"/>
          <w:lang w:val="en-US"/>
        </w:rPr>
        <w:t>c</w:t>
      </w:r>
      <w:r w:rsidR="00EC5D93" w:rsidRPr="00A74E78">
        <w:rPr>
          <w:rFonts w:ascii="Inter 28pt" w:hAnsi="Inter 28pt"/>
          <w:sz w:val="24"/>
          <w:lang w:val="en-US"/>
        </w:rPr>
        <w:t>arrossiers</w:t>
      </w:r>
      <w:proofErr w:type="spellEnd"/>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Gamme de configurations d'essieux et de modèles de cabines</w:t>
      </w:r>
    </w:p>
    <w:p w14:paraId="5E59D282" w14:textId="1ACAAE5E" w:rsidR="00D85BC0" w:rsidRPr="00BB7D1E" w:rsidRDefault="0090601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L’</w:t>
      </w:r>
      <w:r w:rsidR="00D85BC0">
        <w:rPr>
          <w:rFonts w:ascii="Inter 28pt" w:hAnsi="Inter 28pt"/>
          <w:sz w:val="24"/>
        </w:rPr>
        <w:t xml:space="preserve">ADN </w:t>
      </w:r>
      <w:r>
        <w:rPr>
          <w:rFonts w:ascii="Inter 28pt" w:hAnsi="Inter 28pt"/>
          <w:sz w:val="24"/>
        </w:rPr>
        <w:t xml:space="preserve">Nouvelle Génération </w:t>
      </w:r>
      <w:r w:rsidR="00D85BC0">
        <w:rPr>
          <w:rFonts w:ascii="Inter 28pt" w:hAnsi="Inter 28pt"/>
          <w:sz w:val="24"/>
        </w:rPr>
        <w:t>DAF XD et XF de série</w:t>
      </w:r>
    </w:p>
    <w:p w14:paraId="75E937EB" w14:textId="4E94A50A"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Modèles électriques disponibles en version tracteur et porteur 4x2, et porteurs 6x2 avec essieu fou ou pousseur directeur</w:t>
      </w:r>
    </w:p>
    <w:p w14:paraId="66B80D41" w14:textId="33E5529C"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PTR jusqu'à 50 tonnes</w:t>
      </w:r>
    </w:p>
    <w:p w14:paraId="51753269" w14:textId="1F648372" w:rsidR="009A3F05" w:rsidRPr="00811FA3" w:rsidRDefault="009A3F05" w:rsidP="00191E03">
      <w:pPr>
        <w:pStyle w:val="Body"/>
        <w:numPr>
          <w:ilvl w:val="1"/>
          <w:numId w:val="3"/>
        </w:numPr>
        <w:spacing w:line="360" w:lineRule="auto"/>
        <w:rPr>
          <w:rFonts w:ascii="Inter 28pt" w:hAnsi="Inter 28pt" w:cstheme="minorBidi"/>
          <w:bCs/>
          <w:sz w:val="24"/>
          <w:szCs w:val="24"/>
          <w:lang w:val="en-US"/>
        </w:rPr>
      </w:pPr>
      <w:r w:rsidRPr="00811FA3">
        <w:rPr>
          <w:rFonts w:ascii="Inter 28pt" w:hAnsi="Inter 28pt"/>
          <w:sz w:val="24"/>
          <w:lang w:val="en-US"/>
        </w:rPr>
        <w:t>Day Cab, Sleeper Cab et Sleeper High Cab</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Position basse de la cabine associée à un grand pare-brise et à des ceintures de caisse basses pour une visibilité directe inégalée</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Système de vision numérique DAF et DAF Corner </w:t>
      </w:r>
      <w:proofErr w:type="spellStart"/>
      <w:r>
        <w:rPr>
          <w:rFonts w:ascii="Inter 28pt" w:hAnsi="Inter 28pt"/>
          <w:sz w:val="24"/>
        </w:rPr>
        <w:t>View</w:t>
      </w:r>
      <w:proofErr w:type="spellEnd"/>
      <w:r>
        <w:rPr>
          <w:rFonts w:ascii="Inter 28pt" w:hAnsi="Inter 28pt"/>
          <w:sz w:val="24"/>
        </w:rPr>
        <w:t xml:space="preserve"> pour une visibilité indirecte supérieure</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Excellente facilité d'utilisation et confort de conduite exceptionnel</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Conduite à une pédale</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Touches de bleu subtiles pour l'extérieur et l'intérieur</w:t>
      </w:r>
    </w:p>
    <w:p w14:paraId="0D00D531" w14:textId="262D0900"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En 2018, DAF Trucks a été le premier constructeur de camions en Europe à commercialiser un camion de distribution entièrement électrique. Depuis, des dizaines de tracteurs et porteurs CF Electric et de porteurs LF Electric ont été mis en service par les principaux transporteurs dans des applications zéro émission en Europe. Les camions sont utilisés pour approvisionner les supermarchés, déplacer des conteneurs et collecter les déchets dans les zones urbaines.</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Avec les Camions Nouvelle Génération DAF XD Electric et XF Electric, DAF fait passer le transport entièrement électrique à un niveau supérieur. Les deux séries de véhicules innovantes sont basées sur les séries XD et XF maintes fois primées. Elles offrent le même niveau inégalé de qualité, d'efficience et de sécurité, associé à un confort de conduite exceptionnel.</w:t>
      </w:r>
    </w:p>
    <w:p w14:paraId="004C3AFF" w14:textId="5192A4DE" w:rsidR="002D30D9" w:rsidRPr="00BB7D1E" w:rsidRDefault="00D85BC0"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lastRenderedPageBreak/>
        <w:t>Unités motrices ultra-modernes</w:t>
      </w:r>
      <w:r>
        <w:rPr>
          <w:rFonts w:ascii="Inter 28pt" w:hAnsi="Inter 28pt"/>
          <w:b/>
          <w:sz w:val="24"/>
        </w:rPr>
        <w:br/>
      </w:r>
      <w:r>
        <w:rPr>
          <w:rFonts w:ascii="Inter 28pt" w:hAnsi="Inter 28pt"/>
          <w:sz w:val="24"/>
        </w:rPr>
        <w:t>Les nouveaux Camions DAF XD Electric et DAF XF Electric sont alimentés par des unités motrices à aimant permanent efficientes et fiables : les PACCAR EX-D1 et PACCAR EX-D2, qui offrent des puissances de 170 kW/230 </w:t>
      </w:r>
      <w:proofErr w:type="spellStart"/>
      <w:r>
        <w:rPr>
          <w:rFonts w:ascii="Inter 28pt" w:hAnsi="Inter 28pt"/>
          <w:sz w:val="24"/>
        </w:rPr>
        <w:t>ch</w:t>
      </w:r>
      <w:proofErr w:type="spellEnd"/>
      <w:r>
        <w:rPr>
          <w:rFonts w:ascii="Inter 28pt" w:hAnsi="Inter 28pt"/>
          <w:sz w:val="24"/>
        </w:rPr>
        <w:t xml:space="preserve"> à 350 kW/480 ch.</w:t>
      </w:r>
    </w:p>
    <w:p w14:paraId="5A9B5552" w14:textId="34FF4359"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t>Les unités motrices sont extrêmement compactes et se composent de deux moteurs électriques séparés et d'une transmission centrale intégrée à trois vitesses. Les ensembles de systèmes d</w:t>
      </w:r>
      <w:r w:rsidR="00066DAF">
        <w:rPr>
          <w:rFonts w:ascii="Inter 28pt" w:hAnsi="Inter 28pt"/>
          <w:sz w:val="24"/>
        </w:rPr>
        <w:t>u</w:t>
      </w:r>
      <w:r>
        <w:rPr>
          <w:rFonts w:ascii="Inter 28pt" w:hAnsi="Inter 28pt"/>
          <w:sz w:val="24"/>
        </w:rPr>
        <w:t xml:space="preserve"> </w:t>
      </w:r>
      <w:r w:rsidR="00AE37C1">
        <w:rPr>
          <w:rFonts w:ascii="Inter 28pt" w:hAnsi="Inter 28pt"/>
          <w:sz w:val="24"/>
        </w:rPr>
        <w:t xml:space="preserve">train </w:t>
      </w:r>
      <w:r w:rsidR="00CE1671">
        <w:rPr>
          <w:rFonts w:ascii="Inter 28pt" w:hAnsi="Inter 28pt"/>
          <w:sz w:val="24"/>
        </w:rPr>
        <w:t>épicycloïdal</w:t>
      </w:r>
      <w:r>
        <w:rPr>
          <w:rFonts w:ascii="Inter 28pt" w:hAnsi="Inter 28pt"/>
          <w:sz w:val="24"/>
        </w:rPr>
        <w:t xml:space="preserve"> garantissent que le rapport de transmission correct est sélectionné en permanence et qu'en cas d'utilisation à charge partielle, si possible, un seul des deux moteurs électriques est activé pour une efficience maximale. Dès qu'une puissance et/ou un couple plus élevés sont nécessaires, par exemple lors de l'accélération, de la conduite sur terrain vallonné ou du freinage à récupération d'énergie, la deuxième partie de l'unité motrice est activée immédiatement et de manière fluide. La solution compacte avec deux ensembles de systèmes de </w:t>
      </w:r>
      <w:r w:rsidR="0026038E">
        <w:rPr>
          <w:rFonts w:ascii="Inter 28pt" w:hAnsi="Inter 28pt"/>
          <w:sz w:val="24"/>
        </w:rPr>
        <w:t>train épicycloïdal</w:t>
      </w:r>
      <w:r>
        <w:rPr>
          <w:rFonts w:ascii="Inter 28pt" w:hAnsi="Inter 28pt"/>
          <w:sz w:val="24"/>
        </w:rPr>
        <w:t xml:space="preserve"> est également beaucoup plus légère qu'une transmission classique. Cela permet d'optimiser la charge utile du camion, tout en assurant un changement de vitesse rapide et extrêmement confortable.</w:t>
      </w:r>
    </w:p>
    <w:p w14:paraId="7B6AC133" w14:textId="33098614"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 :</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L'Unité motrice PACCAR EX-D1 est fournie dans le DAF XD Electric pour une utilisation sans remorque avec des PTC jusqu'à 29 tonnes. Il existe trois variantes de puissance : 170 kW (230 </w:t>
      </w:r>
      <w:proofErr w:type="spellStart"/>
      <w:r>
        <w:rPr>
          <w:rFonts w:ascii="Inter 28pt" w:hAnsi="Inter 28pt"/>
          <w:sz w:val="24"/>
        </w:rPr>
        <w:t>ch</w:t>
      </w:r>
      <w:proofErr w:type="spellEnd"/>
      <w:r>
        <w:rPr>
          <w:rFonts w:ascii="Inter 28pt" w:hAnsi="Inter 28pt"/>
          <w:sz w:val="24"/>
        </w:rPr>
        <w:t>), 220 kW (300 </w:t>
      </w:r>
      <w:proofErr w:type="spellStart"/>
      <w:r>
        <w:rPr>
          <w:rFonts w:ascii="Inter 28pt" w:hAnsi="Inter 28pt"/>
          <w:sz w:val="24"/>
        </w:rPr>
        <w:t>ch</w:t>
      </w:r>
      <w:proofErr w:type="spellEnd"/>
      <w:r>
        <w:rPr>
          <w:rFonts w:ascii="Inter 28pt" w:hAnsi="Inter 28pt"/>
          <w:sz w:val="24"/>
        </w:rPr>
        <w:t>) et 270 kW (370 </w:t>
      </w:r>
      <w:proofErr w:type="spellStart"/>
      <w:r>
        <w:rPr>
          <w:rFonts w:ascii="Inter 28pt" w:hAnsi="Inter 28pt"/>
          <w:sz w:val="24"/>
        </w:rPr>
        <w:t>ch</w:t>
      </w:r>
      <w:proofErr w:type="spellEnd"/>
      <w:r>
        <w:rPr>
          <w:rFonts w:ascii="Inter 28pt" w:hAnsi="Inter 28pt"/>
          <w:sz w:val="24"/>
        </w:rPr>
        <w:t>), chacune avec un couple maximal de 1 500 Nm. Les moteurs peuvent être combinés avec deux à cinq packs de batteries, d'une capacité brute de 210 kWh à 525 kWh. Les Chaînes cinématiques PACCAR EX-D1 sont idéales pour l'approvisionnement des magasins et la collecte des conteneurs et des déchets, par exemple. La puissance de freinage à récupération d'énergie maximale pour toutes les Chaînes cinématiques PACCAR EX-D1 est de 270 kW.</w:t>
      </w:r>
    </w:p>
    <w:p w14:paraId="55511C1F" w14:textId="43033932" w:rsidR="0092537D" w:rsidRDefault="00B017CA" w:rsidP="00437774">
      <w:pPr>
        <w:pStyle w:val="Body"/>
        <w:spacing w:before="240" w:line="360" w:lineRule="auto"/>
        <w:rPr>
          <w:rFonts w:ascii="Inter 28pt" w:hAnsi="Inter 28pt"/>
          <w:sz w:val="24"/>
        </w:rPr>
      </w:pPr>
      <w:r>
        <w:rPr>
          <w:rFonts w:ascii="Inter 28pt" w:hAnsi="Inter 28pt"/>
          <w:b/>
          <w:sz w:val="24"/>
        </w:rPr>
        <w:t>PACCAR EX-D2 : XD Electric et XF Electric</w:t>
      </w:r>
      <w:r>
        <w:rPr>
          <w:rFonts w:ascii="Inter 28pt" w:hAnsi="Inter 28pt"/>
          <w:b/>
          <w:sz w:val="24"/>
        </w:rPr>
        <w:br/>
      </w:r>
      <w:r>
        <w:rPr>
          <w:rFonts w:ascii="Inter 28pt" w:hAnsi="Inter 28pt"/>
          <w:sz w:val="24"/>
        </w:rPr>
        <w:t xml:space="preserve">Pour les applications plus exigeantes, DAF propose le Moteur électrique PACCAR EX-D2 le plus puissant. Disponible sur les modèles XD Electric et XF Electric, il est </w:t>
      </w:r>
      <w:r>
        <w:rPr>
          <w:rFonts w:ascii="Inter 28pt" w:hAnsi="Inter 28pt"/>
          <w:sz w:val="24"/>
        </w:rPr>
        <w:lastRenderedPageBreak/>
        <w:t>fourni en versions 270 kW (370 </w:t>
      </w:r>
      <w:proofErr w:type="spellStart"/>
      <w:r>
        <w:rPr>
          <w:rFonts w:ascii="Inter 28pt" w:hAnsi="Inter 28pt"/>
          <w:sz w:val="24"/>
        </w:rPr>
        <w:t>ch</w:t>
      </w:r>
      <w:proofErr w:type="spellEnd"/>
      <w:r>
        <w:rPr>
          <w:rFonts w:ascii="Inter 28pt" w:hAnsi="Inter 28pt"/>
          <w:sz w:val="24"/>
        </w:rPr>
        <w:t>), 310 kW (420 </w:t>
      </w:r>
      <w:proofErr w:type="spellStart"/>
      <w:r>
        <w:rPr>
          <w:rFonts w:ascii="Inter 28pt" w:hAnsi="Inter 28pt"/>
          <w:sz w:val="24"/>
        </w:rPr>
        <w:t>ch</w:t>
      </w:r>
      <w:proofErr w:type="spellEnd"/>
      <w:r>
        <w:rPr>
          <w:rFonts w:ascii="Inter 28pt" w:hAnsi="Inter 28pt"/>
          <w:sz w:val="24"/>
        </w:rPr>
        <w:t>) et 350 kW (480 </w:t>
      </w:r>
      <w:proofErr w:type="spellStart"/>
      <w:r>
        <w:rPr>
          <w:rFonts w:ascii="Inter 28pt" w:hAnsi="Inter 28pt"/>
          <w:sz w:val="24"/>
        </w:rPr>
        <w:t>ch</w:t>
      </w:r>
      <w:proofErr w:type="spellEnd"/>
      <w:r>
        <w:rPr>
          <w:rFonts w:ascii="Inter 28pt" w:hAnsi="Inter 28pt"/>
          <w:sz w:val="24"/>
        </w:rPr>
        <w:t>). Ces unités motrices offrent un couple impressionnant de 2 400 Nm et conviennent aux PTR jusqu'à 50 tonnes. La chaîne cinématique est fournie avec un minimum de trois packs de batteries et un maximum de cinq packs de batteries d'une capacité brute de 315 kWh à 525 kWh. Le PACCAR EX-D2, avec une puissance de freinage à récupération d'énergie de 350 kW, est le choix idéal pour les applications plus lourdes et le transport sur de longues distances.</w:t>
      </w:r>
    </w:p>
    <w:p w14:paraId="7AEFDE9C" w14:textId="77777777" w:rsidR="0092537D" w:rsidRPr="0092537D" w:rsidRDefault="0092537D" w:rsidP="00437774">
      <w:pPr>
        <w:pStyle w:val="Body"/>
        <w:spacing w:before="240" w:line="360" w:lineRule="auto"/>
        <w:rPr>
          <w:rFonts w:ascii="Inter 28pt" w:hAnsi="Inter 28pt"/>
          <w:sz w:val="24"/>
        </w:rPr>
      </w:pP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Type de véhicule</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Moteur électrique</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Puissance moteur</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Couple</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Nombre de batteries</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Capacité brute des batteries</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w:t>
            </w:r>
            <w:proofErr w:type="spellStart"/>
            <w:r>
              <w:rPr>
                <w:rFonts w:ascii="Inter 28pt" w:hAnsi="Inter 28pt"/>
                <w:sz w:val="18"/>
              </w:rPr>
              <w:t>ch</w:t>
            </w:r>
            <w:proofErr w:type="spellEnd"/>
            <w:r>
              <w:rPr>
                <w:rFonts w:ascii="Inter 28pt" w:hAnsi="Inter 28pt"/>
                <w:sz w:val="18"/>
              </w:rPr>
              <w:t>)</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1 500 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Deux à cinq</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 kWh à 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w:t>
            </w:r>
            <w:proofErr w:type="spellStart"/>
            <w:r>
              <w:rPr>
                <w:rFonts w:ascii="Inter 28pt" w:hAnsi="Inter 28pt"/>
                <w:sz w:val="18"/>
              </w:rPr>
              <w:t>ch</w:t>
            </w:r>
            <w:proofErr w:type="spellEnd"/>
            <w:r>
              <w:rPr>
                <w:rFonts w:ascii="Inter 28pt" w:hAnsi="Inter 28pt"/>
                <w:sz w:val="18"/>
              </w:rPr>
              <w:t>)</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1 500 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Trois à cinq</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à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w:t>
            </w:r>
            <w:proofErr w:type="spellStart"/>
            <w:r>
              <w:rPr>
                <w:rFonts w:ascii="Inter 28pt" w:hAnsi="Inter 28pt"/>
                <w:sz w:val="18"/>
              </w:rPr>
              <w:t>ch</w:t>
            </w:r>
            <w:proofErr w:type="spellEnd"/>
            <w:r>
              <w:rPr>
                <w:rFonts w:ascii="Inter 28pt" w:hAnsi="Inter 28pt"/>
                <w:sz w:val="18"/>
              </w:rPr>
              <w:t>)</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1 500 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Trois à cinq</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à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811FA3" w:rsidRDefault="00AD7DA9" w:rsidP="00AD7DA9">
            <w:pPr>
              <w:pStyle w:val="Body"/>
              <w:spacing w:before="240"/>
              <w:jc w:val="center"/>
              <w:rPr>
                <w:rFonts w:ascii="Inter 28pt" w:hAnsi="Inter 28pt" w:cstheme="minorBidi"/>
                <w:sz w:val="18"/>
                <w:szCs w:val="18"/>
                <w:lang w:val="en-US"/>
              </w:rPr>
            </w:pPr>
            <w:r w:rsidRPr="00811FA3">
              <w:rPr>
                <w:rFonts w:ascii="Inter 28pt" w:hAnsi="Inter 28pt"/>
                <w:sz w:val="18"/>
                <w:lang w:val="en-US"/>
              </w:rPr>
              <w:t>DAF</w:t>
            </w:r>
            <w:r w:rsidRPr="00811FA3">
              <w:rPr>
                <w:rFonts w:ascii="Inter 28pt" w:hAnsi="Inter 28pt"/>
                <w:sz w:val="18"/>
                <w:lang w:val="en-US"/>
              </w:rPr>
              <w:br/>
              <w:t>XD Electric</w:t>
            </w:r>
            <w:r w:rsidRPr="00811FA3">
              <w:rPr>
                <w:rFonts w:ascii="Inter 28pt" w:hAnsi="Inter 28pt"/>
                <w:sz w:val="18"/>
                <w:lang w:val="en-US"/>
              </w:rPr>
              <w:br/>
            </w:r>
            <w:r w:rsidRPr="00811FA3">
              <w:rPr>
                <w:rFonts w:ascii="Inter 28pt" w:hAnsi="Inter 28pt"/>
                <w:sz w:val="18"/>
                <w:lang w:val="en-US"/>
              </w:rPr>
              <w:br/>
              <w:t>DAF</w:t>
            </w:r>
            <w:r w:rsidRPr="00811FA3">
              <w:rPr>
                <w:rFonts w:ascii="Inter 28pt" w:hAnsi="Inter 28pt"/>
                <w:sz w:val="18"/>
                <w:lang w:val="en-US"/>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w:t>
            </w:r>
            <w:proofErr w:type="spellStart"/>
            <w:r>
              <w:rPr>
                <w:rFonts w:ascii="Inter 28pt" w:hAnsi="Inter 28pt"/>
                <w:sz w:val="18"/>
              </w:rPr>
              <w:t>ch</w:t>
            </w:r>
            <w:proofErr w:type="spellEnd"/>
            <w:r>
              <w:rPr>
                <w:rFonts w:ascii="Inter 28pt" w:hAnsi="Inter 28pt"/>
                <w:sz w:val="18"/>
              </w:rPr>
              <w:t>)</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2 400 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Trois à cinq</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à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w:t>
            </w:r>
            <w:proofErr w:type="spellStart"/>
            <w:r>
              <w:rPr>
                <w:rFonts w:ascii="Inter 28pt" w:hAnsi="Inter 28pt"/>
                <w:sz w:val="18"/>
              </w:rPr>
              <w:t>ch</w:t>
            </w:r>
            <w:proofErr w:type="spellEnd"/>
            <w:r>
              <w:rPr>
                <w:rFonts w:ascii="Inter 28pt" w:hAnsi="Inter 28pt"/>
                <w:sz w:val="18"/>
              </w:rPr>
              <w:t>)</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2 400 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Quatre ou cinq</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ou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w:t>
            </w:r>
            <w:proofErr w:type="spellStart"/>
            <w:r>
              <w:rPr>
                <w:rFonts w:ascii="Inter 28pt" w:hAnsi="Inter 28pt"/>
                <w:sz w:val="18"/>
              </w:rPr>
              <w:t>ch</w:t>
            </w:r>
            <w:proofErr w:type="spellEnd"/>
            <w:r>
              <w:rPr>
                <w:rFonts w:ascii="Inter 28pt" w:hAnsi="Inter 28pt"/>
                <w:sz w:val="18"/>
              </w:rPr>
              <w:t>)</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2 400 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Quatre ou cinq</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ou 525 kWh</w:t>
            </w:r>
            <w:r>
              <w:rPr>
                <w:rFonts w:ascii="Inter 28pt" w:hAnsi="Inter 28pt"/>
                <w:sz w:val="18"/>
              </w:rPr>
              <w:br/>
            </w:r>
          </w:p>
        </w:tc>
      </w:tr>
    </w:tbl>
    <w:p w14:paraId="6EEBBD22" w14:textId="04D3C5AB"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Pr>
          <w:rFonts w:ascii="Inter 28pt" w:hAnsi="Inter 28pt"/>
          <w:b/>
          <w:sz w:val="24"/>
        </w:rPr>
        <w:t>Batteries modulaires sur mesure</w:t>
      </w:r>
      <w:r>
        <w:rPr>
          <w:rFonts w:ascii="Inter 28pt" w:hAnsi="Inter 28pt"/>
          <w:sz w:val="24"/>
        </w:rPr>
        <w:br/>
        <w:t>Pour adapter de manière optimale les véhicules électriques aux besoins et aux applications du client, DAF propose une gamme complète de configurations de batterie avec deux à cinq batteries. Fondamentalement, tous les clients n'ont pas besoin d'une autonomie maximale de 500 kilomètres zéro émission, et certainement pas lorsque le camion parcourt un nombre limité de kilomètres par jour, qu'il retrouve sa base chaque soir et qu'il peut s'y recharger. Cette approche réduit le poids du véhicule et augmente la capacité de charge utile.</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lastRenderedPageBreak/>
        <w:t>Cependant, l'option de cinq batteries permet de parcourir plus de 500 kilomètres zéro émission avec une seule charge de batterie. Grâce à une planification optimale du véhicule et de la charge, les modèles XD Electric et XF Electric peuvent, en pratique, parcourir jusqu'à 1 000 kilomètres entièrement électriques par jour, ce qui en fait un choix idéal pour le transport longue distance.</w:t>
      </w:r>
    </w:p>
    <w:p w14:paraId="3E945891" w14:textId="46DC0A76"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t>Cette gamme impressionnante est principalement due aux Chaînes cinématiques PACCAR EX-D1 et EX-D2 extrêmement efficientes, associées au système de gestion des batteries intelligent de DAF, qui distribue l'énergie stockée dans la batterie sur la chaîne cinématique et d'autres composants pour une efficacité maximale.</w:t>
      </w:r>
    </w:p>
    <w:p w14:paraId="77BB4EA2" w14:textId="1FF5312E"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t xml:space="preserve">La conception extrêmement aérodynamique des camions est également un facteur important dans leur excellent rendement énergétique et leur autonomie exceptionnelle. La conception aérodynamique et fuselée de la cabine, avec ses angles et son pare-brise arrondis, ainsi que l'absence de joints et d'interstices entre les panneaux, garantit une résistance au vent minimale, ce qui se traduit directement par une consommation d'énergie minimale. Les bas de caisse, les déflecteurs, les extensions et la </w:t>
      </w:r>
      <w:r>
        <w:rPr>
          <w:rFonts w:ascii="Inter 28pt" w:hAnsi="Inter 28pt"/>
          <w:i/>
          <w:sz w:val="24"/>
        </w:rPr>
        <w:t>plaque inférieure aérodynamique</w:t>
      </w:r>
      <w:r>
        <w:rPr>
          <w:rFonts w:ascii="Inter 28pt" w:hAnsi="Inter 28pt"/>
          <w:sz w:val="24"/>
        </w:rPr>
        <w:t xml:space="preserve"> sous la cabine jouent également un rôle, tout comme les caméras numériques qui remplacent les rétroviseurs.</w:t>
      </w:r>
    </w:p>
    <w:p w14:paraId="3F0D1F0D" w14:textId="1C6C6317"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Avantages des batteries LFP</w:t>
      </w:r>
      <w:r>
        <w:rPr>
          <w:rFonts w:ascii="Inter 28pt" w:hAnsi="Inter 28pt"/>
          <w:b/>
          <w:sz w:val="24"/>
        </w:rPr>
        <w:br/>
      </w:r>
      <w:r>
        <w:rPr>
          <w:rFonts w:ascii="Inter 28pt" w:hAnsi="Inter 28pt"/>
          <w:sz w:val="24"/>
        </w:rPr>
        <w:t>DAF utilise uniquement la dernière génération de batteries lithium-fer-phosphate (LFP) dans les modèles Nouvelle Génération XD Electric et XF Electric. Elles sont exemptes de cobalt et de nickel et se caractérisent par leur longue durée de vie. En outre, les batteries LFP peuvent être chargées jusqu'à 100 % à chaque fois sans compromettre leur durée de vie.</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Les batteries LFP à refroidissement par liquide utilisées par DAF, qui bénéficient d'une garantie de huit ans, sont également très stables thermiquement pour une sécurité maximale. Cela signifie également que les cellules de batterie peuvent être disposées de manière très compacte, ce qui permet de gagner de la place.</w:t>
      </w:r>
    </w:p>
    <w:p w14:paraId="51FADE15" w14:textId="53759110"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lastRenderedPageBreak/>
        <w:t>Charge rapide CC de série, charge CA en option</w:t>
      </w:r>
      <w:r>
        <w:rPr>
          <w:rFonts w:ascii="Inter 28pt" w:hAnsi="Inter 28pt"/>
          <w:b/>
          <w:sz w:val="24"/>
        </w:rPr>
        <w:br/>
      </w:r>
      <w:r>
        <w:rPr>
          <w:rFonts w:ascii="Inter 28pt" w:hAnsi="Inter 28pt"/>
          <w:sz w:val="24"/>
        </w:rPr>
        <w:t>Les modèles Nouvelle Génération XD Electric et XF Electric sont adaptés à une charge rapide jusqu'à 325 kW. Une batterie avec trois blocs peut être chargée en un peu plus de trois quarts d'heure pour passer de 0 à 80 % de sa capacité. Même les cinq blocs batteries maximum peuvent être complètement chargés en deux heures. En option, un chargeur embarqué peut être utilisé pour la charge avec un courant alternatif (CA) jusqu'à 22 kW. Cela offre la flexibilité de pouvoir utiliser un véhicule même lorsque la charge rapide en courant continu (CC) n'est pas disponible.</w:t>
      </w:r>
    </w:p>
    <w:p w14:paraId="2D72557E" w14:textId="30FE92EC" w:rsidR="00024528" w:rsidRPr="00BB7D1E" w:rsidRDefault="00012027" w:rsidP="00024528">
      <w:pPr>
        <w:pStyle w:val="Body"/>
        <w:spacing w:before="240" w:line="360" w:lineRule="auto"/>
        <w:rPr>
          <w:rFonts w:ascii="Inter 28pt" w:hAnsi="Inter 28pt"/>
          <w:sz w:val="24"/>
        </w:rPr>
      </w:pPr>
      <w:r>
        <w:rPr>
          <w:rFonts w:ascii="Inter 28pt" w:hAnsi="Inter 28pt"/>
          <w:b/>
          <w:sz w:val="24"/>
        </w:rPr>
        <w:t>Prédisposition</w:t>
      </w:r>
      <w:r w:rsidR="008F63F7">
        <w:rPr>
          <w:rFonts w:ascii="Inter 28pt" w:hAnsi="Inter 28pt"/>
          <w:b/>
          <w:sz w:val="24"/>
        </w:rPr>
        <w:t xml:space="preserve"> pour les carrossiers</w:t>
      </w:r>
      <w:r w:rsidR="008F63F7">
        <w:rPr>
          <w:rFonts w:ascii="Inter 28pt" w:hAnsi="Inter 28pt"/>
          <w:b/>
          <w:sz w:val="24"/>
        </w:rPr>
        <w:br/>
      </w:r>
      <w:r w:rsidR="008F63F7">
        <w:rPr>
          <w:rFonts w:ascii="Inter 28pt" w:hAnsi="Inter 28pt"/>
          <w:sz w:val="24"/>
        </w:rPr>
        <w:t>Grâce au positionnement flexible et modulaire des batteries sur le châssis, les modèles Nouvelle Génération DAF XD Electric et XF Electric offrent la même commodité inégalée pour les carrossiers que tous les autres modèles de la série Nouvelle Génération DAF. Le positionnement des ensembles peut être parfaitement adapté à l'utilisation prévue du véhicule, offrant ainsi un grand espace pour le montage, par exemple, d'un corps de chargeur latéral ou de pieds de grue. Une prise de force électrique de 650 V (25 kW et 90 kW) est également disponible en option pour alimenter, par exemple, un système de réfrigération électrique.</w:t>
      </w:r>
    </w:p>
    <w:bookmarkEnd w:id="1"/>
    <w:p w14:paraId="4D9A8331" w14:textId="7A66C559"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Un pack « </w:t>
      </w:r>
      <w:r w:rsidR="00A74E78">
        <w:rPr>
          <w:rFonts w:ascii="Inter 28pt" w:hAnsi="Inter 28pt"/>
          <w:sz w:val="24"/>
        </w:rPr>
        <w:t>Bolt</w:t>
      </w:r>
      <w:r>
        <w:rPr>
          <w:rFonts w:ascii="Inter 28pt" w:hAnsi="Inter 28pt"/>
          <w:sz w:val="24"/>
        </w:rPr>
        <w:t xml:space="preserve"> &amp; Play » est disponible pour le DAF XD 6x2 avec essieu fou arrière directeur (FAN), spécialement conçu pour l'installation d'une structure de collecte des déchets sur le côté du camion. Dans ce cas, le châssis est monté en usine avec une prise de force électrique, des supports de montage spécifiques pour la structure et des connecteurs qui commandent les fonctions de la structure. Le pack « </w:t>
      </w:r>
      <w:r w:rsidR="00A74E78">
        <w:rPr>
          <w:rFonts w:ascii="Inter 28pt" w:hAnsi="Inter 28pt"/>
          <w:sz w:val="24"/>
        </w:rPr>
        <w:t>Bolt</w:t>
      </w:r>
      <w:r>
        <w:rPr>
          <w:rFonts w:ascii="Inter 28pt" w:hAnsi="Inter 28pt"/>
          <w:sz w:val="24"/>
        </w:rPr>
        <w:t xml:space="preserve"> &amp; Play » facilite la vie du distributeur et du carrossier. En outre, le client bénéficie d'une intégration optimale de la carrosserie et du châssis, garantissant ainsi une qualité optimale. Cela garantit également une disponibilité des véhicules plus rapide.</w:t>
      </w:r>
    </w:p>
    <w:p w14:paraId="1110A257" w14:textId="48633AE9" w:rsidR="005C32A8" w:rsidRPr="00BB7D1E" w:rsidRDefault="00857BA9" w:rsidP="009971A5">
      <w:pPr>
        <w:pStyle w:val="Body"/>
        <w:spacing w:before="240" w:line="360" w:lineRule="auto"/>
        <w:rPr>
          <w:rFonts w:ascii="Inter 28pt" w:hAnsi="Inter 28pt"/>
          <w:sz w:val="24"/>
        </w:rPr>
      </w:pPr>
      <w:r>
        <w:rPr>
          <w:rFonts w:ascii="Inter 28pt" w:hAnsi="Inter 28pt"/>
          <w:b/>
          <w:sz w:val="24"/>
        </w:rPr>
        <w:t>ADN fort</w:t>
      </w:r>
      <w:r>
        <w:rPr>
          <w:rFonts w:ascii="Inter 28pt" w:hAnsi="Inter 28pt"/>
          <w:b/>
          <w:sz w:val="24"/>
        </w:rPr>
        <w:br/>
      </w:r>
      <w:r>
        <w:rPr>
          <w:rFonts w:ascii="Inter 28pt" w:hAnsi="Inter 28pt"/>
          <w:sz w:val="24"/>
        </w:rPr>
        <w:t xml:space="preserve">Les nouveaux modèles XD Electric et XF Electric se caractérisent par le même ADN distinctif que les </w:t>
      </w:r>
      <w:r w:rsidR="00DA2BB1">
        <w:rPr>
          <w:rFonts w:ascii="Inter 28pt" w:hAnsi="Inter 28pt"/>
          <w:sz w:val="24"/>
        </w:rPr>
        <w:t>c</w:t>
      </w:r>
      <w:r>
        <w:rPr>
          <w:rFonts w:ascii="Inter 28pt" w:hAnsi="Inter 28pt"/>
          <w:sz w:val="24"/>
        </w:rPr>
        <w:t>amions Nouvelle Génération DAF existants, établissant ainsi la norme en matière de sécurité, de confort et de facilité d'utilisation dans leur segment.</w:t>
      </w:r>
    </w:p>
    <w:p w14:paraId="2E63211A" w14:textId="754D237A"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lastRenderedPageBreak/>
        <w:t>Sécurité de premier ordre</w:t>
      </w:r>
      <w:r>
        <w:rPr>
          <w:rFonts w:ascii="Inter 28pt" w:hAnsi="Inter 28pt"/>
          <w:b/>
          <w:sz w:val="24"/>
        </w:rPr>
        <w:br/>
      </w:r>
      <w:r>
        <w:rPr>
          <w:rFonts w:ascii="Inter 28pt" w:hAnsi="Inter 28pt"/>
          <w:sz w:val="24"/>
        </w:rPr>
        <w:t xml:space="preserve">Avant tout, la conception innovante de la cabine contribue de manière significative à la sécurité. Grâce à un grand pare-brise, des ceintures de caisse basses et des options utiles telles que la vitre latérale, le Système de vision numérique DAF et le système DAF Corner </w:t>
      </w:r>
      <w:proofErr w:type="spellStart"/>
      <w:r>
        <w:rPr>
          <w:rFonts w:ascii="Inter 28pt" w:hAnsi="Inter 28pt"/>
          <w:sz w:val="24"/>
        </w:rPr>
        <w:t>View</w:t>
      </w:r>
      <w:proofErr w:type="spellEnd"/>
      <w:r>
        <w:rPr>
          <w:rFonts w:ascii="Inter 28pt" w:hAnsi="Inter 28pt"/>
          <w:sz w:val="24"/>
        </w:rPr>
        <w:t xml:space="preserve">, les véhicules offrent une vue directe et indirecte inégalée. Le système DAF City </w:t>
      </w:r>
      <w:proofErr w:type="spellStart"/>
      <w:r>
        <w:rPr>
          <w:rFonts w:ascii="Inter 28pt" w:hAnsi="Inter 28pt"/>
          <w:sz w:val="24"/>
        </w:rPr>
        <w:t>Side</w:t>
      </w:r>
      <w:proofErr w:type="spellEnd"/>
      <w:r>
        <w:rPr>
          <w:rFonts w:ascii="Inter 28pt" w:hAnsi="Inter 28pt"/>
          <w:sz w:val="24"/>
        </w:rPr>
        <w:t xml:space="preserve"> &amp; </w:t>
      </w:r>
      <w:proofErr w:type="spellStart"/>
      <w:r>
        <w:rPr>
          <w:rFonts w:ascii="Inter 28pt" w:hAnsi="Inter 28pt"/>
          <w:sz w:val="24"/>
        </w:rPr>
        <w:t>Turn</w:t>
      </w:r>
      <w:proofErr w:type="spellEnd"/>
      <w:r>
        <w:rPr>
          <w:rFonts w:ascii="Inter 28pt" w:hAnsi="Inter 28pt"/>
          <w:sz w:val="24"/>
        </w:rPr>
        <w:t xml:space="preserve"> Assist renforce la sécurité dans les environnements urbains en alertant activement le conducteur de la présence d'usagers de la route vulnérables à proximité du camion.</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Haut niveau de confort</w:t>
      </w:r>
      <w:r>
        <w:rPr>
          <w:rFonts w:ascii="Inter 28pt" w:hAnsi="Inter 28pt"/>
          <w:sz w:val="24"/>
        </w:rPr>
        <w:br/>
        <w:t>Les cabines sont spacieuses et bien conçues. L'accessibilité est parfaite, avec deux (XD) ou trois (XF) marches intelligemment positionnées. Le tableau de bord ergonomique est doté d'un affichage numérique clair et configurable. Le volant et le siège proposent une plage de réglage exceptionnelle, et les lits de 220 cm de long offrent un confort inégalé. La conception optimisée du châssis, la cabine raffinée et les suspensions avant et arrière confèrent aux DAF XD Electric et XF Electric un plaisir de conduite exceptionnel.</w:t>
      </w:r>
    </w:p>
    <w:p w14:paraId="4633D8D5" w14:textId="0E356890"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t>La conduite à une pédale, qui permet d'utiliser la pédale d'accélération à la fois pour accélérer et décélérer, est également disponible. Le segment inférieur de la course de la pédale est réservé à l'accélération, tandis que la section supérieure peut être utilisée pour contrôler et moduler le freinage à récupération d'énergie. Le bouton de freinage à récupération d'énergie situé sur l</w:t>
      </w:r>
      <w:r w:rsidR="002603CD">
        <w:rPr>
          <w:rFonts w:ascii="Inter 28pt" w:hAnsi="Inter 28pt"/>
          <w:sz w:val="24"/>
        </w:rPr>
        <w:t>e com</w:t>
      </w:r>
      <w:r w:rsidR="00E65E62">
        <w:rPr>
          <w:rFonts w:ascii="Inter 28pt" w:hAnsi="Inter 28pt"/>
          <w:sz w:val="24"/>
        </w:rPr>
        <w:t>m</w:t>
      </w:r>
      <w:r w:rsidR="002603CD">
        <w:rPr>
          <w:rFonts w:ascii="Inter 28pt" w:hAnsi="Inter 28pt"/>
          <w:sz w:val="24"/>
        </w:rPr>
        <w:t xml:space="preserve">odo </w:t>
      </w:r>
      <w:r>
        <w:rPr>
          <w:rFonts w:ascii="Inter 28pt" w:hAnsi="Inter 28pt"/>
          <w:sz w:val="24"/>
        </w:rPr>
        <w:t>de la colonne de direction permet d'engager la « commande à pédale unique » et de sélectionner la puissance de freinage requise (33, 66 ou 100 % de la puissance de freinage totale).</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Des touches subtiles</w:t>
      </w:r>
      <w:r>
        <w:rPr>
          <w:rFonts w:ascii="Inter 28pt" w:hAnsi="Inter 28pt"/>
          <w:b/>
          <w:sz w:val="24"/>
        </w:rPr>
        <w:br/>
      </w:r>
      <w:r>
        <w:rPr>
          <w:rFonts w:ascii="Inter 28pt" w:hAnsi="Inter 28pt"/>
          <w:sz w:val="24"/>
        </w:rPr>
        <w:t xml:space="preserve">Malgré leur apparence presque identique à celle de leurs homologues diesel, de subtiles touches bleues sur la calandre et les phares permettent de différencier les variantes électriques. L'intérieur du véhicule est doté d'un tableau de bord numérique accrocheur, spécialement conçu pour fournir un aperçu instantané de la chaîne cinématique électrique, y compris la consommation d'énergie, l'état de charge, </w:t>
      </w:r>
      <w:r>
        <w:rPr>
          <w:rFonts w:ascii="Inter 28pt" w:hAnsi="Inter 28pt"/>
          <w:sz w:val="24"/>
        </w:rPr>
        <w:lastRenderedPageBreak/>
        <w:t>l'autonomie, la puissance de sortie et la régénération. Le système de navigation du camion en option indique également l'emplacement des stations de charge publiques et disponibles.</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Commencez la livraison</w:t>
      </w:r>
      <w:r>
        <w:rPr>
          <w:rFonts w:ascii="Inter 28pt" w:hAnsi="Inter 28pt"/>
          <w:sz w:val="24"/>
        </w:rPr>
        <w:br/>
        <w:t>Les modèles XD Electric et XF Electric sont disponibles en tracteurs et porteurs 4x2. En outre, les porteurs 6x2 avec essieu pousseur directeur ou essieu fou directeur sont disponibles pour une capacité de charge utile supplémentaire et une meilleure maniabilité. La gamme de configurations d'essieux avec chaîne cinématique électrique sera élargie tout au long de l'année 2026.</w:t>
      </w:r>
    </w:p>
    <w:p w14:paraId="0CC85096" w14:textId="0D95EF7A"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 Toute personne travaillant avec nos nouveaux camions électriques reconnaîtra immédiatement que ces versions faisaient partie intégrante du développement des modèles Nouvelle Génération DAF XD et XF dès le début », déclare Bart Bosmans, membre du conseil d'administration et responsable du marketing et des ventes. « Le concept de chaîne cinématique et de véhicule constitue une combinaison parfaite, en particulier pour la distribution intensive pour laquelle ces nouveaux camions électriques sont principalement conçus. En plus de ces véhicules de pointe, nous proposons un ensemble complet de services pour soutenir les transporteurs dans leur transition énergétique. Cela va des formations spécifiques aux conducteurs à la planification approfondie des itinéraires, de la fourniture de stations de charge et de systèmes de stockage d'énergie aux informations spécifiques au sein de notre plate-forme de gestion de flotte en ligne PACCAR Connect. Cette combinaison de produits et de services fait de DAF le partenaire idéal dans le processus de transition énergétique ».</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 xml:space="preserve">DAF Trucks N.V. </w:t>
      </w:r>
      <w:r>
        <w:rPr>
          <w:rFonts w:ascii="Inter 28pt" w:hAnsi="Inter 28pt"/>
          <w:sz w:val="18"/>
        </w:rPr>
        <w:t>— filiale de PACCAR </w:t>
      </w:r>
      <w:proofErr w:type="spellStart"/>
      <w:r>
        <w:rPr>
          <w:rFonts w:ascii="Inter 28pt" w:hAnsi="Inter 28pt"/>
          <w:sz w:val="18"/>
        </w:rPr>
        <w:t>Inc</w:t>
      </w:r>
      <w:proofErr w:type="spellEnd"/>
      <w:r>
        <w:rPr>
          <w:rFonts w:ascii="Inter 28pt" w:hAnsi="Inter 28pt"/>
          <w:sz w:val="18"/>
        </w:rPr>
        <w:t xml:space="preserve">, une société technologique mondiale qui conçoit et fabrique des camions légers, moyens et lourds. DAF propose une gamme complète de tracteurs et de porteurs, proposant le véhicule adapté à chaque application de transport. DAF est également l'un des principaux fournisseurs de services, notamment les contrats de réparations et d'entretien </w:t>
      </w:r>
      <w:proofErr w:type="spellStart"/>
      <w:r>
        <w:rPr>
          <w:rFonts w:ascii="Inter 28pt" w:hAnsi="Inter 28pt"/>
          <w:sz w:val="18"/>
        </w:rPr>
        <w:t>MultiSupport</w:t>
      </w:r>
      <w:proofErr w:type="spellEnd"/>
      <w:r>
        <w:rPr>
          <w:rFonts w:ascii="Inter 28pt" w:hAnsi="Inter 28pt"/>
          <w:sz w:val="18"/>
        </w:rPr>
        <w:t>, les services financiers de PACCAR Financial et un service de livraison de pièces de première classe de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septembre 2025</w:t>
      </w:r>
    </w:p>
    <w:p w14:paraId="07626633" w14:textId="77777777" w:rsidR="005F1B72" w:rsidRDefault="005F1B72" w:rsidP="005F1B72">
      <w:pPr>
        <w:spacing w:line="360" w:lineRule="auto"/>
        <w:rPr>
          <w:rFonts w:ascii="Inter 28pt" w:hAnsi="Inter 28pt" w:cstheme="minorBidi"/>
          <w:sz w:val="24"/>
        </w:rPr>
      </w:pPr>
    </w:p>
    <w:p w14:paraId="0EECCC2C" w14:textId="77777777" w:rsidR="00905B05" w:rsidRPr="00BB7D1E" w:rsidRDefault="00905B05" w:rsidP="005F1B72">
      <w:pPr>
        <w:spacing w:line="360" w:lineRule="auto"/>
        <w:rPr>
          <w:rFonts w:ascii="Inter 28pt" w:hAnsi="Inter 28pt" w:cstheme="minorBidi"/>
          <w:sz w:val="24"/>
        </w:rPr>
      </w:pPr>
    </w:p>
    <w:p w14:paraId="28922FA6" w14:textId="77777777" w:rsidR="0065716B" w:rsidRPr="00586C25" w:rsidRDefault="0065716B" w:rsidP="0065716B">
      <w:pPr>
        <w:rPr>
          <w:rFonts w:ascii="Inter 28pt" w:hAnsi="Inter 28pt" w:cstheme="minorBidi"/>
          <w:b/>
          <w:i/>
          <w:sz w:val="18"/>
          <w:szCs w:val="18"/>
        </w:rPr>
      </w:pPr>
      <w:r w:rsidRPr="00586C25">
        <w:rPr>
          <w:rFonts w:ascii="Inter 28pt" w:hAnsi="Inter 28pt"/>
          <w:b/>
          <w:i/>
          <w:sz w:val="18"/>
          <w:szCs w:val="18"/>
        </w:rPr>
        <w:t>Note aux rédacteurs</w:t>
      </w:r>
    </w:p>
    <w:p w14:paraId="0B3ABD7D" w14:textId="77777777" w:rsidR="0065716B" w:rsidRDefault="0065716B" w:rsidP="0065716B">
      <w:pPr>
        <w:rPr>
          <w:rFonts w:ascii="Inter 28pt" w:hAnsi="Inter 28pt"/>
          <w:sz w:val="18"/>
          <w:szCs w:val="18"/>
        </w:rPr>
      </w:pPr>
      <w:r w:rsidRPr="00586C25">
        <w:rPr>
          <w:rFonts w:ascii="Inter 28pt" w:hAnsi="Inter 28pt"/>
          <w:sz w:val="18"/>
          <w:szCs w:val="18"/>
        </w:rPr>
        <w:t>Pour plus d'informations :</w:t>
      </w:r>
    </w:p>
    <w:p w14:paraId="0C15D3B1" w14:textId="77777777" w:rsidR="00905B05" w:rsidRDefault="00905B05" w:rsidP="0065716B">
      <w:pPr>
        <w:rPr>
          <w:rFonts w:ascii="Inter 28pt" w:hAnsi="Inter 28pt"/>
          <w:sz w:val="18"/>
          <w:szCs w:val="18"/>
        </w:rPr>
      </w:pPr>
    </w:p>
    <w:p w14:paraId="6A353DAE" w14:textId="77777777" w:rsidR="00905B05" w:rsidRPr="00FE32D9" w:rsidRDefault="00905B05" w:rsidP="00905B05">
      <w:pPr>
        <w:rPr>
          <w:rFonts w:ascii="Inter 28pt" w:hAnsi="Inter 28pt"/>
          <w:sz w:val="18"/>
          <w:szCs w:val="18"/>
          <w:lang w:val="en-US"/>
        </w:rPr>
      </w:pPr>
      <w:r w:rsidRPr="00FE32D9">
        <w:rPr>
          <w:rFonts w:ascii="Inter 28pt" w:hAnsi="Inter 28pt"/>
          <w:sz w:val="18"/>
          <w:szCs w:val="18"/>
          <w:lang w:val="en-US"/>
        </w:rPr>
        <w:t>DAF Trucks France</w:t>
      </w:r>
    </w:p>
    <w:p w14:paraId="178C2689" w14:textId="77777777" w:rsidR="00905B05" w:rsidRPr="00FE32D9" w:rsidRDefault="00905B05" w:rsidP="00905B05">
      <w:pPr>
        <w:rPr>
          <w:rFonts w:ascii="Inter 28pt" w:hAnsi="Inter 28pt"/>
          <w:sz w:val="18"/>
          <w:szCs w:val="18"/>
          <w:lang w:val="en-US"/>
        </w:rPr>
      </w:pPr>
      <w:r w:rsidRPr="00FE32D9">
        <w:rPr>
          <w:rFonts w:ascii="Inter 28pt" w:hAnsi="Inter 28pt"/>
          <w:sz w:val="18"/>
          <w:szCs w:val="18"/>
          <w:lang w:val="en-US"/>
        </w:rPr>
        <w:t>Communication</w:t>
      </w:r>
    </w:p>
    <w:p w14:paraId="76AF25F1" w14:textId="3927546F" w:rsidR="00905B05" w:rsidRPr="00FE32D9" w:rsidRDefault="00905B05" w:rsidP="00905B05">
      <w:pPr>
        <w:rPr>
          <w:rFonts w:ascii="Inter 28pt" w:hAnsi="Inter 28pt"/>
          <w:sz w:val="18"/>
          <w:szCs w:val="18"/>
          <w:lang w:val="en-US"/>
        </w:rPr>
      </w:pPr>
      <w:r w:rsidRPr="00FE32D9">
        <w:rPr>
          <w:rFonts w:ascii="Inter 28pt" w:hAnsi="Inter 28pt"/>
          <w:sz w:val="18"/>
          <w:szCs w:val="18"/>
          <w:lang w:val="en-US"/>
        </w:rPr>
        <w:t xml:space="preserve">Bruno Weber,  </w:t>
      </w:r>
      <w:r w:rsidR="00FE32D9">
        <w:rPr>
          <w:rFonts w:ascii="Inter 28pt" w:hAnsi="Inter 28pt"/>
          <w:sz w:val="18"/>
          <w:szCs w:val="18"/>
          <w:lang w:val="en-US"/>
        </w:rPr>
        <w:t>+33</w:t>
      </w:r>
      <w:r w:rsidRPr="00FE32D9">
        <w:rPr>
          <w:rFonts w:ascii="Inter 28pt" w:hAnsi="Inter 28pt"/>
          <w:sz w:val="18"/>
          <w:szCs w:val="18"/>
          <w:lang w:val="en-US"/>
        </w:rPr>
        <w:t>1 49 90 80 51</w:t>
      </w:r>
    </w:p>
    <w:p w14:paraId="5062B421" w14:textId="384F7607" w:rsidR="00905B05" w:rsidRPr="00FE32D9" w:rsidRDefault="00905B05" w:rsidP="00905B05">
      <w:pPr>
        <w:rPr>
          <w:rFonts w:ascii="Inter 28pt" w:hAnsi="Inter 28pt"/>
          <w:sz w:val="18"/>
          <w:szCs w:val="18"/>
          <w:lang w:val="en-US"/>
        </w:rPr>
      </w:pPr>
      <w:r w:rsidRPr="00FE32D9">
        <w:rPr>
          <w:rFonts w:ascii="Inter 28pt" w:hAnsi="Inter 28pt"/>
          <w:sz w:val="18"/>
          <w:szCs w:val="18"/>
          <w:lang w:val="en-US"/>
        </w:rPr>
        <w:t>bruno.weber@daftrucks.com</w:t>
      </w:r>
    </w:p>
    <w:p w14:paraId="5F8CEE24" w14:textId="649083B6" w:rsidR="00905B05" w:rsidRDefault="0059738A" w:rsidP="0059738A">
      <w:pPr>
        <w:spacing w:line="276" w:lineRule="auto"/>
        <w:rPr>
          <w:rFonts w:ascii="Inter 28pt" w:hAnsi="Inter 28pt" w:cstheme="minorBidi"/>
          <w:sz w:val="18"/>
          <w:szCs w:val="18"/>
        </w:rPr>
      </w:pPr>
      <w:hyperlink r:id="rId13" w:history="1">
        <w:r w:rsidRPr="00504284">
          <w:rPr>
            <w:rStyle w:val="Hyperlink"/>
            <w:rFonts w:ascii="Inter 28pt" w:hAnsi="Inter 28pt"/>
            <w:sz w:val="18"/>
            <w:szCs w:val="18"/>
          </w:rPr>
          <w:t>www.daf.fr</w:t>
        </w:r>
      </w:hyperlink>
    </w:p>
    <w:p w14:paraId="5B3CD31D" w14:textId="77777777" w:rsidR="0059738A" w:rsidRPr="00586C25" w:rsidRDefault="0059738A" w:rsidP="0065716B">
      <w:pPr>
        <w:rPr>
          <w:rFonts w:ascii="Inter 28pt" w:hAnsi="Inter 28pt" w:cstheme="minorBidi"/>
          <w:sz w:val="18"/>
          <w:szCs w:val="18"/>
        </w:rPr>
      </w:pPr>
    </w:p>
    <w:p w14:paraId="67841124" w14:textId="77777777" w:rsidR="0065716B" w:rsidRPr="00586C25" w:rsidRDefault="0065716B" w:rsidP="0065716B">
      <w:pPr>
        <w:rPr>
          <w:rFonts w:ascii="Inter 28pt" w:hAnsi="Inter 28pt" w:cstheme="minorBidi"/>
          <w:sz w:val="18"/>
          <w:szCs w:val="18"/>
          <w:lang w:val="en-US"/>
        </w:rPr>
      </w:pPr>
      <w:r w:rsidRPr="00586C25">
        <w:rPr>
          <w:rFonts w:ascii="Inter 28pt" w:hAnsi="Inter 28pt"/>
          <w:sz w:val="18"/>
          <w:szCs w:val="18"/>
          <w:lang w:val="en-US"/>
        </w:rPr>
        <w:t>DAF Trucks N.V.</w:t>
      </w:r>
    </w:p>
    <w:p w14:paraId="50927CC6" w14:textId="47BF76BA" w:rsidR="0065716B" w:rsidRPr="00586C25" w:rsidRDefault="0065716B" w:rsidP="0065716B">
      <w:pPr>
        <w:rPr>
          <w:rFonts w:ascii="Inter 28pt" w:hAnsi="Inter 28pt" w:cstheme="minorBidi"/>
          <w:sz w:val="18"/>
          <w:szCs w:val="18"/>
          <w:lang w:val="en-US"/>
        </w:rPr>
      </w:pPr>
      <w:r w:rsidRPr="00586C25">
        <w:rPr>
          <w:rFonts w:ascii="Inter 28pt" w:hAnsi="Inter 28pt"/>
          <w:sz w:val="18"/>
          <w:szCs w:val="18"/>
          <w:lang w:val="en-US"/>
        </w:rPr>
        <w:t>Corporate Communication Department</w:t>
      </w:r>
    </w:p>
    <w:p w14:paraId="1EC9AAF2" w14:textId="77777777" w:rsidR="0065716B" w:rsidRPr="00586C25" w:rsidRDefault="0065716B" w:rsidP="0065716B">
      <w:pPr>
        <w:rPr>
          <w:rFonts w:ascii="Inter 28pt" w:hAnsi="Inter 28pt" w:cstheme="minorBidi"/>
          <w:sz w:val="18"/>
          <w:szCs w:val="18"/>
        </w:rPr>
      </w:pPr>
      <w:r w:rsidRPr="00586C25">
        <w:rPr>
          <w:rFonts w:ascii="Inter 28pt" w:hAnsi="Inter 28pt"/>
          <w:sz w:val="18"/>
          <w:szCs w:val="18"/>
        </w:rPr>
        <w:t>Rutger Kerstiens, +31 (0) 40 214 2874</w:t>
      </w:r>
    </w:p>
    <w:p w14:paraId="7050EC7C" w14:textId="6C862518" w:rsidR="00AC6766" w:rsidRPr="00586C25" w:rsidRDefault="0065716B" w:rsidP="00060F54">
      <w:pPr>
        <w:spacing w:line="276" w:lineRule="auto"/>
        <w:rPr>
          <w:rFonts w:ascii="Inter 28pt" w:hAnsi="Inter 28pt" w:cstheme="minorBidi"/>
          <w:sz w:val="18"/>
          <w:szCs w:val="18"/>
        </w:rPr>
      </w:pPr>
      <w:hyperlink r:id="rId14" w:history="1">
        <w:r w:rsidRPr="00586C25">
          <w:rPr>
            <w:rStyle w:val="Hyperlink"/>
            <w:rFonts w:ascii="Inter 28pt" w:hAnsi="Inter 28pt"/>
            <w:sz w:val="18"/>
            <w:szCs w:val="18"/>
          </w:rPr>
          <w:t>www.daf.com</w:t>
        </w:r>
      </w:hyperlink>
    </w:p>
    <w:sectPr w:rsidR="00AC6766" w:rsidRPr="00586C25"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3F6F" w14:textId="77777777" w:rsidR="008F0021" w:rsidRDefault="008F0021">
      <w:r>
        <w:separator/>
      </w:r>
    </w:p>
  </w:endnote>
  <w:endnote w:type="continuationSeparator" w:id="0">
    <w:p w14:paraId="0677703B" w14:textId="77777777" w:rsidR="008F0021" w:rsidRDefault="008F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BE9B" w14:textId="77777777" w:rsidR="008F0021" w:rsidRDefault="008F0021">
      <w:r>
        <w:separator/>
      </w:r>
    </w:p>
  </w:footnote>
  <w:footnote w:type="continuationSeparator" w:id="0">
    <w:p w14:paraId="144C3FFC" w14:textId="77777777" w:rsidR="008F0021" w:rsidRDefault="008F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EB44" w14:textId="77777777" w:rsidR="00C44AF0" w:rsidRDefault="00C44AF0" w:rsidP="00C44AF0">
    <w:pPr>
      <w:pStyle w:val="HeaderTextLeft"/>
      <w:framePr w:h="1265" w:hRule="exact" w:wrap="around" w:x="624" w:y="376"/>
      <w:spacing w:before="120" w:line="420" w:lineRule="exact"/>
      <w:rPr>
        <w:b w:val="0"/>
      </w:rPr>
    </w:pPr>
  </w:p>
  <w:p w14:paraId="0D9C5F48" w14:textId="77777777" w:rsidR="00C44AF0" w:rsidRPr="0077358E" w:rsidRDefault="00C44AF0" w:rsidP="00C44AF0">
    <w:pPr>
      <w:pStyle w:val="HeaderTextLeft"/>
      <w:framePr w:h="1265" w:hRule="exact" w:wrap="around" w:x="624" w:y="376"/>
      <w:spacing w:line="420" w:lineRule="exact"/>
      <w:rPr>
        <w:b w:val="0"/>
      </w:rPr>
    </w:pPr>
    <w:r>
      <w:rPr>
        <w:b w:val="0"/>
      </w:rPr>
      <w:t>Communiqué de presse</w:t>
    </w:r>
  </w:p>
  <w:tbl>
    <w:tblPr>
      <w:tblW w:w="2553" w:type="dxa"/>
      <w:tblLayout w:type="fixed"/>
      <w:tblCellMar>
        <w:left w:w="0" w:type="dxa"/>
        <w:right w:w="0" w:type="dxa"/>
      </w:tblCellMar>
      <w:tblLook w:val="0000" w:firstRow="0" w:lastRow="0" w:firstColumn="0" w:lastColumn="0" w:noHBand="0" w:noVBand="0"/>
    </w:tblPr>
    <w:tblGrid>
      <w:gridCol w:w="2553"/>
    </w:tblGrid>
    <w:tr w:rsidR="00C44AF0" w14:paraId="71955EFD" w14:textId="77777777" w:rsidTr="00FE2A19">
      <w:trPr>
        <w:trHeight w:val="1249"/>
      </w:trPr>
      <w:tc>
        <w:tcPr>
          <w:tcW w:w="2553" w:type="dxa"/>
        </w:tcPr>
        <w:p w14:paraId="42FFFCE3" w14:textId="77777777" w:rsidR="00C44AF0" w:rsidRDefault="00C44AF0" w:rsidP="00C44AF0">
          <w:pPr>
            <w:pStyle w:val="KoptekstLogo"/>
            <w:framePr w:wrap="around"/>
            <w:rPr>
              <w:b w:val="0"/>
            </w:rPr>
          </w:pPr>
          <w:r>
            <w:object w:dxaOrig="12227" w:dyaOrig="5716" w14:anchorId="03B46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6pt;height:54.25pt">
                <v:imagedata r:id="rId1" o:title=""/>
              </v:shape>
              <o:OLEObject Type="Embed" ProgID="PBrush" ShapeID="_x0000_i1027" DrawAspect="Content" ObjectID="_1817380612" r:id="rId2"/>
            </w:object>
          </w:r>
        </w:p>
      </w:tc>
    </w:tr>
    <w:tr w:rsidR="00C44AF0" w14:paraId="1E4A24B4" w14:textId="77777777" w:rsidTr="00FE2A19">
      <w:trPr>
        <w:trHeight w:hRule="exact" w:val="264"/>
      </w:trPr>
      <w:tc>
        <w:tcPr>
          <w:tcW w:w="2553" w:type="dxa"/>
        </w:tcPr>
        <w:p w14:paraId="0A69F78A" w14:textId="77777777" w:rsidR="00C44AF0" w:rsidRDefault="00C44AF0" w:rsidP="00C44AF0">
          <w:pPr>
            <w:pStyle w:val="KoptekstLogoCompanyAddress"/>
            <w:framePr w:wrap="around"/>
          </w:pPr>
          <w:r>
            <w:t>Bat N Paris Nord 2</w:t>
          </w:r>
        </w:p>
      </w:tc>
    </w:tr>
    <w:tr w:rsidR="00C44AF0" w14:paraId="3F3CDB8D" w14:textId="77777777" w:rsidTr="00FE2A19">
      <w:trPr>
        <w:trHeight w:hRule="exact" w:val="264"/>
      </w:trPr>
      <w:tc>
        <w:tcPr>
          <w:tcW w:w="2553" w:type="dxa"/>
        </w:tcPr>
        <w:p w14:paraId="1D6ED061" w14:textId="77777777" w:rsidR="00C44AF0" w:rsidRDefault="00C44AF0" w:rsidP="00C44AF0">
          <w:pPr>
            <w:pStyle w:val="KoptekstLogoCompanyAddress"/>
            <w:framePr w:wrap="around"/>
          </w:pPr>
          <w:r>
            <w:t>66 rue des vanesses</w:t>
          </w:r>
        </w:p>
      </w:tc>
    </w:tr>
    <w:tr w:rsidR="00C44AF0" w14:paraId="79B349E8" w14:textId="77777777" w:rsidTr="00FE2A19">
      <w:trPr>
        <w:trHeight w:hRule="exact" w:val="264"/>
      </w:trPr>
      <w:tc>
        <w:tcPr>
          <w:tcW w:w="2553" w:type="dxa"/>
        </w:tcPr>
        <w:p w14:paraId="1CBF808C" w14:textId="77777777" w:rsidR="00C44AF0" w:rsidRPr="00021AA0" w:rsidRDefault="00C44AF0" w:rsidP="00C44AF0">
          <w:pPr>
            <w:pStyle w:val="KoptekstLogoCompanyAddress"/>
            <w:framePr w:wrap="around"/>
          </w:pPr>
          <w:r>
            <w:t>CS 52396  Villepinte</w:t>
          </w:r>
        </w:p>
      </w:tc>
    </w:tr>
    <w:tr w:rsidR="00C44AF0" w14:paraId="721BA44F" w14:textId="77777777" w:rsidTr="00FE2A19">
      <w:trPr>
        <w:trHeight w:hRule="exact" w:val="264"/>
      </w:trPr>
      <w:tc>
        <w:tcPr>
          <w:tcW w:w="2553" w:type="dxa"/>
        </w:tcPr>
        <w:p w14:paraId="6E273B52" w14:textId="77777777" w:rsidR="00C44AF0" w:rsidRDefault="00C44AF0" w:rsidP="00C44AF0">
          <w:pPr>
            <w:pStyle w:val="KoptekstLogoCompanyAddress"/>
            <w:framePr w:wrap="around"/>
          </w:pPr>
          <w:r>
            <w:t>95943 Roissy CDG cedex</w:t>
          </w:r>
        </w:p>
      </w:tc>
    </w:tr>
    <w:tr w:rsidR="00C44AF0" w14:paraId="7CC7086C" w14:textId="77777777" w:rsidTr="00FE2A19">
      <w:trPr>
        <w:trHeight w:hRule="exact" w:val="264"/>
      </w:trPr>
      <w:tc>
        <w:tcPr>
          <w:tcW w:w="2553" w:type="dxa"/>
        </w:tcPr>
        <w:p w14:paraId="297B5DB7" w14:textId="77777777" w:rsidR="00C44AF0" w:rsidRDefault="00C44AF0" w:rsidP="00C44AF0">
          <w:pPr>
            <w:pStyle w:val="KoptekstLogoCompanyAddress"/>
            <w:framePr w:wrap="around"/>
          </w:pPr>
          <w:r>
            <w:t>Tel : +33 (0) 149 90 80 00</w:t>
          </w:r>
        </w:p>
      </w:tc>
    </w:tr>
    <w:tr w:rsidR="00C44AF0" w14:paraId="1337855E" w14:textId="77777777" w:rsidTr="00FE2A19">
      <w:trPr>
        <w:trHeight w:hRule="exact" w:val="264"/>
      </w:trPr>
      <w:tc>
        <w:tcPr>
          <w:tcW w:w="2553" w:type="dxa"/>
        </w:tcPr>
        <w:p w14:paraId="7A9B1A5B" w14:textId="77777777" w:rsidR="00C44AF0" w:rsidRDefault="00C44AF0" w:rsidP="00C44AF0">
          <w:pPr>
            <w:pStyle w:val="KoptekstLogoCompanyAddress"/>
            <w:framePr w:wrap="around"/>
          </w:pPr>
          <w:r>
            <w:t xml:space="preserve">Internet: </w:t>
          </w:r>
          <w:hyperlink r:id="rId3" w:history="1">
            <w:r w:rsidRPr="007652C6">
              <w:rPr>
                <w:rStyle w:val="Hyperlink"/>
              </w:rPr>
              <w:t>www.daf.fr</w:t>
            </w:r>
          </w:hyperlink>
        </w:p>
        <w:p w14:paraId="2B4F1078" w14:textId="77777777" w:rsidR="00C44AF0" w:rsidRDefault="00C44AF0" w:rsidP="00C44AF0">
          <w:pPr>
            <w:pStyle w:val="KoptekstLogoCompanyAddress"/>
            <w:framePr w:wrap="around"/>
          </w:pPr>
        </w:p>
      </w:tc>
    </w:tr>
    <w:tr w:rsidR="00C44AF0" w14:paraId="3CC05AD3" w14:textId="77777777" w:rsidTr="00FE2A19">
      <w:trPr>
        <w:trHeight w:hRule="exact" w:val="264"/>
      </w:trPr>
      <w:tc>
        <w:tcPr>
          <w:tcW w:w="2553" w:type="dxa"/>
        </w:tcPr>
        <w:p w14:paraId="54041C59" w14:textId="77777777" w:rsidR="00C44AF0" w:rsidRDefault="00C44AF0" w:rsidP="00C44AF0">
          <w:pPr>
            <w:pStyle w:val="KoptekstLogoCompanyAddress"/>
            <w:framePr w:wrap="around"/>
          </w:pPr>
          <w:r>
            <w:rPr>
              <w:lang w:val="nl-NL"/>
            </w:rPr>
            <w:drawing>
              <wp:inline distT="0" distB="0" distL="0" distR="0" wp14:anchorId="6CC9F563" wp14:editId="19348971">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3A6917FC" w14:textId="77777777" w:rsidR="00C44AF0" w:rsidRDefault="00C44AF0" w:rsidP="00C44AF0">
    <w:pPr>
      <w:pStyle w:val="Koptekst"/>
    </w:pPr>
  </w:p>
  <w:p w14:paraId="7F220AFC" w14:textId="77777777" w:rsidR="005F1B72" w:rsidRPr="00C44AF0" w:rsidRDefault="005F1B72" w:rsidP="00C44A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2027"/>
    <w:rsid w:val="00014A27"/>
    <w:rsid w:val="00014B79"/>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66DAF"/>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01E2"/>
    <w:rsid w:val="00184503"/>
    <w:rsid w:val="001911AB"/>
    <w:rsid w:val="00191E03"/>
    <w:rsid w:val="001A36F8"/>
    <w:rsid w:val="001B1806"/>
    <w:rsid w:val="001C232F"/>
    <w:rsid w:val="001E5397"/>
    <w:rsid w:val="001F4C55"/>
    <w:rsid w:val="0020559E"/>
    <w:rsid w:val="00212217"/>
    <w:rsid w:val="0022076C"/>
    <w:rsid w:val="00223437"/>
    <w:rsid w:val="00237795"/>
    <w:rsid w:val="00242CB7"/>
    <w:rsid w:val="002431DE"/>
    <w:rsid w:val="00253562"/>
    <w:rsid w:val="0026038E"/>
    <w:rsid w:val="002603CD"/>
    <w:rsid w:val="002657BA"/>
    <w:rsid w:val="00265E2D"/>
    <w:rsid w:val="00271237"/>
    <w:rsid w:val="002806A2"/>
    <w:rsid w:val="00285635"/>
    <w:rsid w:val="00286C55"/>
    <w:rsid w:val="002A2E0A"/>
    <w:rsid w:val="002A70C6"/>
    <w:rsid w:val="002A7CA0"/>
    <w:rsid w:val="002B1CD5"/>
    <w:rsid w:val="002D30D9"/>
    <w:rsid w:val="002E2260"/>
    <w:rsid w:val="002E4195"/>
    <w:rsid w:val="002F6F8C"/>
    <w:rsid w:val="00310BE3"/>
    <w:rsid w:val="00317C7C"/>
    <w:rsid w:val="003204C6"/>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13E4"/>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86C25"/>
    <w:rsid w:val="005900B8"/>
    <w:rsid w:val="00596AEB"/>
    <w:rsid w:val="0059738A"/>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716B"/>
    <w:rsid w:val="006856E7"/>
    <w:rsid w:val="006867CA"/>
    <w:rsid w:val="00691CE5"/>
    <w:rsid w:val="0069606B"/>
    <w:rsid w:val="006A55F9"/>
    <w:rsid w:val="006B1192"/>
    <w:rsid w:val="006C0497"/>
    <w:rsid w:val="006D5A30"/>
    <w:rsid w:val="006D7DFC"/>
    <w:rsid w:val="006E17E8"/>
    <w:rsid w:val="006F5AE2"/>
    <w:rsid w:val="006F6A21"/>
    <w:rsid w:val="00707AE4"/>
    <w:rsid w:val="00721491"/>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95E84"/>
    <w:rsid w:val="007A0503"/>
    <w:rsid w:val="007A54C5"/>
    <w:rsid w:val="007B5F02"/>
    <w:rsid w:val="007C013A"/>
    <w:rsid w:val="007C13FC"/>
    <w:rsid w:val="007D055F"/>
    <w:rsid w:val="007D7144"/>
    <w:rsid w:val="007E3AC3"/>
    <w:rsid w:val="007E6869"/>
    <w:rsid w:val="007F53E7"/>
    <w:rsid w:val="00801FA9"/>
    <w:rsid w:val="0081103E"/>
    <w:rsid w:val="00811FA3"/>
    <w:rsid w:val="008140D8"/>
    <w:rsid w:val="00815A29"/>
    <w:rsid w:val="00816FF0"/>
    <w:rsid w:val="00831299"/>
    <w:rsid w:val="00843310"/>
    <w:rsid w:val="00845E13"/>
    <w:rsid w:val="008535D0"/>
    <w:rsid w:val="00857BA9"/>
    <w:rsid w:val="00872EC6"/>
    <w:rsid w:val="008744CE"/>
    <w:rsid w:val="00875AE8"/>
    <w:rsid w:val="008A3492"/>
    <w:rsid w:val="008A5ED4"/>
    <w:rsid w:val="008B6A06"/>
    <w:rsid w:val="008D1D03"/>
    <w:rsid w:val="008D2818"/>
    <w:rsid w:val="008E34CC"/>
    <w:rsid w:val="008E41C2"/>
    <w:rsid w:val="008F0021"/>
    <w:rsid w:val="008F14AD"/>
    <w:rsid w:val="008F63F7"/>
    <w:rsid w:val="00905B05"/>
    <w:rsid w:val="00906014"/>
    <w:rsid w:val="00912C07"/>
    <w:rsid w:val="00917F62"/>
    <w:rsid w:val="00920B74"/>
    <w:rsid w:val="0092251D"/>
    <w:rsid w:val="0092537D"/>
    <w:rsid w:val="00940CD7"/>
    <w:rsid w:val="00943980"/>
    <w:rsid w:val="00947BD0"/>
    <w:rsid w:val="0095332E"/>
    <w:rsid w:val="00963FDC"/>
    <w:rsid w:val="00967C66"/>
    <w:rsid w:val="009843D0"/>
    <w:rsid w:val="009971A5"/>
    <w:rsid w:val="009A0890"/>
    <w:rsid w:val="009A0BFA"/>
    <w:rsid w:val="009A3F05"/>
    <w:rsid w:val="009A40A1"/>
    <w:rsid w:val="009B0A89"/>
    <w:rsid w:val="009B6E5F"/>
    <w:rsid w:val="009C00D6"/>
    <w:rsid w:val="009D1223"/>
    <w:rsid w:val="009D1734"/>
    <w:rsid w:val="009E2231"/>
    <w:rsid w:val="009E7F7C"/>
    <w:rsid w:val="00A252FD"/>
    <w:rsid w:val="00A27CA2"/>
    <w:rsid w:val="00A33541"/>
    <w:rsid w:val="00A50B44"/>
    <w:rsid w:val="00A54ECF"/>
    <w:rsid w:val="00A70D07"/>
    <w:rsid w:val="00A74E78"/>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E37C1"/>
    <w:rsid w:val="00AF3D9B"/>
    <w:rsid w:val="00B017CA"/>
    <w:rsid w:val="00B06E67"/>
    <w:rsid w:val="00B14F92"/>
    <w:rsid w:val="00B35DF6"/>
    <w:rsid w:val="00B379A5"/>
    <w:rsid w:val="00B43F20"/>
    <w:rsid w:val="00B62F3A"/>
    <w:rsid w:val="00B70617"/>
    <w:rsid w:val="00B838EF"/>
    <w:rsid w:val="00BB5229"/>
    <w:rsid w:val="00BB582E"/>
    <w:rsid w:val="00BB7D1E"/>
    <w:rsid w:val="00BC0BDD"/>
    <w:rsid w:val="00BF39AF"/>
    <w:rsid w:val="00C0474A"/>
    <w:rsid w:val="00C21FB3"/>
    <w:rsid w:val="00C22062"/>
    <w:rsid w:val="00C25503"/>
    <w:rsid w:val="00C33D9C"/>
    <w:rsid w:val="00C40047"/>
    <w:rsid w:val="00C44AF0"/>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C5BFA"/>
    <w:rsid w:val="00CD5146"/>
    <w:rsid w:val="00CD5BC5"/>
    <w:rsid w:val="00CE1671"/>
    <w:rsid w:val="00CE5E5D"/>
    <w:rsid w:val="00CF0375"/>
    <w:rsid w:val="00CF5179"/>
    <w:rsid w:val="00D10EEE"/>
    <w:rsid w:val="00D20E4E"/>
    <w:rsid w:val="00D228F5"/>
    <w:rsid w:val="00D248FC"/>
    <w:rsid w:val="00D257E6"/>
    <w:rsid w:val="00D33E51"/>
    <w:rsid w:val="00D372F3"/>
    <w:rsid w:val="00D60D45"/>
    <w:rsid w:val="00D64921"/>
    <w:rsid w:val="00D85BC0"/>
    <w:rsid w:val="00D87060"/>
    <w:rsid w:val="00DA2BB1"/>
    <w:rsid w:val="00DA3377"/>
    <w:rsid w:val="00DA3449"/>
    <w:rsid w:val="00DB0B11"/>
    <w:rsid w:val="00DB3391"/>
    <w:rsid w:val="00DB3E01"/>
    <w:rsid w:val="00DC530E"/>
    <w:rsid w:val="00DD2D91"/>
    <w:rsid w:val="00DE4117"/>
    <w:rsid w:val="00DE590F"/>
    <w:rsid w:val="00DF72EF"/>
    <w:rsid w:val="00E01B91"/>
    <w:rsid w:val="00E3037B"/>
    <w:rsid w:val="00E4756B"/>
    <w:rsid w:val="00E50B85"/>
    <w:rsid w:val="00E6117A"/>
    <w:rsid w:val="00E64D3B"/>
    <w:rsid w:val="00E65E62"/>
    <w:rsid w:val="00E84EA5"/>
    <w:rsid w:val="00E873E2"/>
    <w:rsid w:val="00E96FD7"/>
    <w:rsid w:val="00EA3D95"/>
    <w:rsid w:val="00EC23A7"/>
    <w:rsid w:val="00EC33A2"/>
    <w:rsid w:val="00EC5D93"/>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95316"/>
    <w:rsid w:val="00FB0BA9"/>
    <w:rsid w:val="00FB4226"/>
    <w:rsid w:val="00FC194A"/>
    <w:rsid w:val="00FC5516"/>
    <w:rsid w:val="00FC755C"/>
    <w:rsid w:val="00FC7949"/>
    <w:rsid w:val="00FD44EB"/>
    <w:rsid w:val="00FE32D9"/>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 w:type="character" w:styleId="Onopgelostemelding">
    <w:name w:val="Unresolved Mention"/>
    <w:basedOn w:val="Standaardalinea-lettertype"/>
    <w:uiPriority w:val="99"/>
    <w:semiHidden/>
    <w:unhideWhenUsed/>
    <w:rsid w:val="0059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fr"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3C8B3-7854-426D-96D2-F507C9C62658}">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9726DE32-BFF8-431F-A89B-AA22CC67A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3EA84-B802-43AC-9B63-FC9735EC6976}">
  <ds:schemaRefs>
    <ds:schemaRef ds:uri="http://schemas.microsoft.com/sharepoint/v3/contenttype/forms"/>
  </ds:schemaRefs>
</ds:datastoreItem>
</file>

<file path=customXml/itemProps4.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2462</Words>
  <Characters>13113</Characters>
  <Application>Microsoft Office Word</Application>
  <DocSecurity>4</DocSecurity>
  <Lines>109</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2</cp:revision>
  <cp:lastPrinted>2019-05-22T13:26:00Z</cp:lastPrinted>
  <dcterms:created xsi:type="dcterms:W3CDTF">2025-08-22T13:10:00Z</dcterms:created>
  <dcterms:modified xsi:type="dcterms:W3CDTF">2025-08-22T13:10:00Z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