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Servicio integral: asesoramiento personalizado y una gama completa de soluciones</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su socio perfecto para la transición energética.</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 xml:space="preserve">Además de una amplia gama de camiones totalmente eléctricos, DAF Trucks ofrece una gran variedad de servicios que ayudan a los operadores en el proceso de transición energética. Esto abarca desde la oferta de cursos de formación para conductores específicos hasta la financiación a medida, desde el suministro de estaciones de carga y sistemas de gestión de energía hasta servicios específicos dentro de la plataforma de gestión de flotas en línea PACCAR </w:t>
      </w:r>
      <w:proofErr w:type="spellStart"/>
      <w:r>
        <w:rPr>
          <w:rFonts w:ascii="Inter 28pt" w:hAnsi="Inter 28pt"/>
          <w:b/>
          <w:sz w:val="24"/>
        </w:rPr>
        <w:t>Connect</w:t>
      </w:r>
      <w:proofErr w:type="spellEnd"/>
      <w:r>
        <w:rPr>
          <w:rFonts w:ascii="Inter 28pt" w:hAnsi="Inter 28pt"/>
          <w:b/>
          <w:sz w:val="24"/>
        </w:rPr>
        <w:t>. La transición energética implica algo más que comprar un DAF XB, XD o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Todos los concesionarios de Europa: DAF Electric </w:t>
      </w:r>
      <w:proofErr w:type="spellStart"/>
      <w:r>
        <w:rPr>
          <w:rFonts w:ascii="Inter 28pt" w:hAnsi="Inter 28pt"/>
          <w:sz w:val="24"/>
        </w:rPr>
        <w:t>Truck</w:t>
      </w:r>
      <w:proofErr w:type="spellEnd"/>
      <w:r>
        <w:rPr>
          <w:rFonts w:ascii="Inter 28pt" w:hAnsi="Inter 28pt"/>
          <w:sz w:val="24"/>
        </w:rPr>
        <w:t xml:space="preserve">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Totalmente entrenado y equipado</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Disponibilidad de estaciones de carga públicas</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Sistemas líderes de su clase para unas especificaciones excelentes del vehículo</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La herramienta de ventas TOPEC también ofrece simulaciones de rutas y horarios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Configurador de camiones en línea 3D</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PACCAR </w:t>
      </w:r>
      <w:proofErr w:type="spellStart"/>
      <w:r>
        <w:rPr>
          <w:rFonts w:ascii="Inter 28pt" w:hAnsi="Inter 28pt"/>
          <w:sz w:val="24"/>
        </w:rPr>
        <w:t>Power</w:t>
      </w:r>
      <w:proofErr w:type="spellEnd"/>
      <w:r>
        <w:rPr>
          <w:rFonts w:ascii="Inter 28pt" w:hAnsi="Inter 28pt"/>
          <w:sz w:val="24"/>
        </w:rPr>
        <w:t xml:space="preserve"> </w:t>
      </w:r>
      <w:proofErr w:type="spellStart"/>
      <w:r>
        <w:rPr>
          <w:rFonts w:ascii="Inter 28pt" w:hAnsi="Inter 28pt"/>
          <w:sz w:val="24"/>
        </w:rPr>
        <w:t>Solutions</w:t>
      </w:r>
      <w:proofErr w:type="spellEnd"/>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Amplia gama de estaciones de carga PACCAR de 20 a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Asesoramiento e implementación de microrredes con sistemas de almacenamiento de energía de baterías</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Instrucciones detalladas para el conductor en el momento de la entrega</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Vales para cursos de formación específicos para conductores</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Sistema de gestión de flotas PACCAR </w:t>
      </w:r>
      <w:proofErr w:type="spellStart"/>
      <w:r>
        <w:rPr>
          <w:rFonts w:ascii="Inter 28pt" w:hAnsi="Inter 28pt"/>
          <w:sz w:val="24"/>
        </w:rPr>
        <w:t>Connect</w:t>
      </w:r>
      <w:proofErr w:type="spellEnd"/>
      <w:r>
        <w:rPr>
          <w:rFonts w:ascii="Inter 28pt" w:hAnsi="Inter 28pt"/>
          <w:sz w:val="24"/>
        </w:rPr>
        <w:t xml:space="preserve"> Online</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De serie en todos los DAF XB, XD y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Estado actual del suministro y consumo de energía</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Enlace a DAF </w:t>
      </w:r>
      <w:proofErr w:type="spellStart"/>
      <w:r>
        <w:rPr>
          <w:rFonts w:ascii="Inter 28pt" w:hAnsi="Inter 28pt"/>
          <w:sz w:val="24"/>
        </w:rPr>
        <w:t>Truck</w:t>
      </w:r>
      <w:proofErr w:type="spellEnd"/>
      <w:r>
        <w:rPr>
          <w:rFonts w:ascii="Inter 28pt" w:hAnsi="Inter 28pt"/>
          <w:sz w:val="24"/>
        </w:rPr>
        <w:t xml:space="preserve"> </w:t>
      </w:r>
      <w:proofErr w:type="spellStart"/>
      <w:r>
        <w:rPr>
          <w:rFonts w:ascii="Inter 28pt" w:hAnsi="Inter 28pt"/>
          <w:sz w:val="24"/>
        </w:rPr>
        <w:t>Navigation</w:t>
      </w:r>
      <w:proofErr w:type="spellEnd"/>
      <w:r>
        <w:rPr>
          <w:rFonts w:ascii="Inter 28pt" w:hAnsi="Inter 28pt"/>
          <w:sz w:val="24"/>
        </w:rPr>
        <w:t xml:space="preserve"> con una descripción general de las estaciones de carga públicas disponibles</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Tarifas atractivas para los contratos de reparación y mantenimiento DAF MultiSupport y PACCAR </w:t>
      </w:r>
      <w:proofErr w:type="spellStart"/>
      <w:r>
        <w:rPr>
          <w:rFonts w:ascii="Inter 28pt" w:hAnsi="Inter 28pt"/>
          <w:sz w:val="24"/>
        </w:rPr>
        <w:t>Financial</w:t>
      </w:r>
      <w:proofErr w:type="spellEnd"/>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En 2018, DAF fue el primer fabricante europeo de camiones en comercializar un camión totalmente eléctrico y ha desarrollado un conjunto exclusivo y completo de servicios para proporcionar a los clientes la mejor asistencia posible cuando se pasan a la electricidad.</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 xml:space="preserve">DAF Electric </w:t>
      </w:r>
      <w:proofErr w:type="spellStart"/>
      <w:r>
        <w:rPr>
          <w:rFonts w:ascii="Inter 28pt" w:hAnsi="Inter 28pt"/>
          <w:b/>
          <w:sz w:val="24"/>
        </w:rPr>
        <w:t>Truck</w:t>
      </w:r>
      <w:proofErr w:type="spellEnd"/>
      <w:r>
        <w:rPr>
          <w:rFonts w:ascii="Inter 28pt" w:hAnsi="Inter 28pt"/>
          <w:b/>
          <w:sz w:val="24"/>
        </w:rPr>
        <w:t xml:space="preserve"> Centre</w:t>
      </w:r>
      <w:r>
        <w:rPr>
          <w:rFonts w:ascii="Inter 28pt" w:hAnsi="Inter 28pt"/>
          <w:b/>
          <w:sz w:val="24"/>
        </w:rPr>
        <w:br/>
      </w:r>
      <w:r>
        <w:rPr>
          <w:rFonts w:ascii="Inter 28pt" w:hAnsi="Inter 28pt"/>
          <w:sz w:val="24"/>
        </w:rPr>
        <w:t xml:space="preserve">En primer lugar, todos los concesionarios de ventas DAF de Europa han sido designados oficialmente como DAF Electric </w:t>
      </w:r>
      <w:proofErr w:type="spellStart"/>
      <w:r>
        <w:rPr>
          <w:rFonts w:ascii="Inter 28pt" w:hAnsi="Inter 28pt"/>
          <w:sz w:val="24"/>
        </w:rPr>
        <w:t>Truck</w:t>
      </w:r>
      <w:proofErr w:type="spellEnd"/>
      <w:r>
        <w:rPr>
          <w:rFonts w:ascii="Inter 28pt" w:hAnsi="Inter 28pt"/>
          <w:sz w:val="24"/>
        </w:rPr>
        <w:t xml:space="preserve"> Centre. Esto significa que los técnicos especializados y los vendedores han recibido toda la formación necesaria, que los talleres están totalmente equipados para realizar todos los trabajos en camiones eléctricos de forma segura y profesional, y que la disponibilidad de piezas está regulada. Además, todos los concesionarios DAF dispondrán de una estación de carga pública que los clientes y los transeúntes podrán utilizar.</w:t>
      </w:r>
    </w:p>
    <w:p w14:paraId="74D90A21" w14:textId="39F920B1"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el camión ideal para cada aplicación</w:t>
      </w:r>
      <w:r>
        <w:rPr>
          <w:rFonts w:ascii="Inter 28pt" w:hAnsi="Inter 28pt"/>
          <w:sz w:val="24"/>
        </w:rPr>
        <w:br/>
        <w:t xml:space="preserve">Para identificar el camión eléctrico más adecuado para un caso de uso específico, los concesionarios DAF utilizan el sistema TOPEC, que incluye todas las configuraciones y opciones de vehículos disponibles. Esta información se combina con las necesidades operativas específicas del cliente para crear simulaciones completas que indiquen las rutas óptimas, cómo y dónde se pueden cargar mejor las baterías y cuánta energía consumirá el camión. TOPEC es, por lo tanto, una herramienta importante para determinar la mejor configuración del vehículo y obtener la máxima eficiencia por kilómetro. Los operadores de transporte que deseen saber lo que la gama de vehículos eléctricos DAF puede hacer por ellos pueden visitar </w:t>
      </w:r>
      <w:r w:rsidR="00BF4213">
        <w:rPr>
          <w:rFonts w:ascii="Inter 28pt" w:hAnsi="Inter 28pt"/>
          <w:sz w:val="24"/>
        </w:rPr>
        <w:t>la</w:t>
      </w:r>
      <w:r>
        <w:rPr>
          <w:rFonts w:ascii="Inter 28pt" w:hAnsi="Inter 28pt"/>
          <w:sz w:val="24"/>
        </w:rPr>
        <w:t xml:space="preserve"> web de </w:t>
      </w:r>
      <w:r>
        <w:rPr>
          <w:rFonts w:ascii="Inter 28pt" w:hAnsi="Inter 28pt"/>
          <w:sz w:val="24"/>
        </w:rPr>
        <w:lastRenderedPageBreak/>
        <w:t>DAF. Todas las versiones de XB, XD y XF Electric se han integrado completamente en el configurador de camiones 3D en línea.</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Estaciones de carga y microrredes personalizadas</w:t>
      </w:r>
      <w:r>
        <w:rPr>
          <w:rFonts w:ascii="Inter 28pt" w:hAnsi="Inter 28pt"/>
          <w:sz w:val="24"/>
        </w:rPr>
        <w:br/>
        <w:t>Además de los vehículos eléctricos más avanzados, DAF también ofrece una amplia gama de estaciones de carga con potencias de 20 kW a 400 kW y la solución óptima para cada aplicación.</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Hay disponibles cargadores PACCAR de 20 kW a 50 kW, especialmente adecuados para camiones que se cargan por la noche o por la noche después de sus viajes diarios. Los cargadores de 120 kW y 180 kW están diseñados para una carga rápida, por lo que son ideales para flotas que utilizan vehículos eléctricos en varias rutas o en varios turnos. El cargador más potente de 400 kW puede cargar vehículos completamente en menos de dos horas o incluso cargar rápidamente dos vehículos a la vez. Los cargadores móviles de 24 kW a 40 kW son ideales para cargar de forma temporal o provisional, por ejemplo, para facilitar la prueba y demostración de un vehículo.</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 xml:space="preserve">A petición del cliente, el servicio se puede ampliar aún más para incluir recomendaciones e incluso asistencia con la implementación de una amplia red micro, que puede incluir paneles solares, un sistema de almacenamiento de energía de la batería (BESS), sistemas avanzados de gestión de energía (EMS) y cargadores rápidos. PACCAR </w:t>
      </w:r>
      <w:proofErr w:type="spellStart"/>
      <w:r>
        <w:rPr>
          <w:rFonts w:ascii="Inter 28pt" w:hAnsi="Inter 28pt"/>
          <w:sz w:val="24"/>
        </w:rPr>
        <w:t>Power</w:t>
      </w:r>
      <w:proofErr w:type="spellEnd"/>
      <w:r>
        <w:rPr>
          <w:rFonts w:ascii="Inter 28pt" w:hAnsi="Inter 28pt"/>
          <w:sz w:val="24"/>
        </w:rPr>
        <w:t xml:space="preserve"> </w:t>
      </w:r>
      <w:proofErr w:type="spellStart"/>
      <w:r>
        <w:rPr>
          <w:rFonts w:ascii="Inter 28pt" w:hAnsi="Inter 28pt"/>
          <w:sz w:val="24"/>
        </w:rPr>
        <w:t>Solutions</w:t>
      </w:r>
      <w:proofErr w:type="spellEnd"/>
      <w:r>
        <w:rPr>
          <w:rFonts w:ascii="Inter 28pt" w:hAnsi="Inter 28pt"/>
          <w:sz w:val="24"/>
        </w:rPr>
        <w:t xml:space="preserve"> comenzará por planificar elementos como el tamaño de la flota, la implementación, los programas de carga, los requisitos energéticos máximos y las tarifas energéticas. Cualquier excedente de electricidad autogenerada y la capacidad de la red local también forman parte de esta investigación inicial.</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Formación específica para el conductor</w:t>
      </w:r>
      <w:r>
        <w:rPr>
          <w:rFonts w:ascii="Inter 28pt" w:hAnsi="Inter 28pt"/>
          <w:b/>
          <w:sz w:val="24"/>
        </w:rPr>
        <w:br/>
      </w:r>
      <w:r>
        <w:rPr>
          <w:rFonts w:ascii="Inter 28pt" w:hAnsi="Inter 28pt"/>
          <w:sz w:val="24"/>
        </w:rPr>
        <w:t xml:space="preserve">Cuando se entrega un camión eléctrico, el concesionario DAF hace especial énfasis en proporcionar al conductor instrucciones completas para que pueda sacar el máximo partido de cada kWh de electricidad. Durante la entrega del vehículo, se </w:t>
      </w:r>
      <w:r>
        <w:rPr>
          <w:rFonts w:ascii="Inter 28pt" w:hAnsi="Inter 28pt"/>
          <w:sz w:val="24"/>
        </w:rPr>
        <w:lastRenderedPageBreak/>
        <w:t>explican detalladamente todos los entresijos del camión eléctrico, prestando especial atención al arranque, la conducción, el uso y la carga de las baterías del vehículo.</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Además, los clientes y conductores pueden utilizar el cupón de formación para conductores DAF para maximizar la eficiencia energética de DAF Electric. Durante la formación, se ofrece asesoramiento sobre cómo elegir los momentos adecuados para cargar las baterías, optimizar el uso del frenado regenerativo y maximizar la conducción por inercia del camión. Todo ello con el fin de lograr la máxima eficiencia de transporte.</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 xml:space="preserve">PACCAR </w:t>
      </w:r>
      <w:proofErr w:type="spellStart"/>
      <w:r>
        <w:rPr>
          <w:rFonts w:ascii="Inter 28pt" w:hAnsi="Inter 28pt"/>
          <w:b/>
          <w:sz w:val="24"/>
        </w:rPr>
        <w:t>Connect</w:t>
      </w:r>
      <w:proofErr w:type="spellEnd"/>
      <w:r>
        <w:rPr>
          <w:rFonts w:ascii="Inter 28pt" w:hAnsi="Inter 28pt"/>
          <w:b/>
          <w:sz w:val="24"/>
        </w:rPr>
        <w:br/>
      </w:r>
      <w:r>
        <w:rPr>
          <w:rFonts w:ascii="Inter 28pt" w:hAnsi="Inter 28pt"/>
          <w:sz w:val="24"/>
        </w:rPr>
        <w:t xml:space="preserve">Por supuesto, todos los camiones DAF totalmente eléctricos también están conectados a la nueva plataforma de gestión de flotas en línea PACCAR </w:t>
      </w:r>
      <w:proofErr w:type="spellStart"/>
      <w:r>
        <w:rPr>
          <w:rFonts w:ascii="Inter 28pt" w:hAnsi="Inter 28pt"/>
          <w:sz w:val="24"/>
        </w:rPr>
        <w:t>Connect</w:t>
      </w:r>
      <w:proofErr w:type="spellEnd"/>
      <w:r>
        <w:rPr>
          <w:rFonts w:ascii="Inter 28pt" w:hAnsi="Inter 28pt"/>
          <w:sz w:val="24"/>
        </w:rPr>
        <w:t xml:space="preserve">, que permite supervisar el rendimiento del vehículo y del conductor las 24 horas del día. PACCAR </w:t>
      </w:r>
      <w:proofErr w:type="spellStart"/>
      <w:r>
        <w:rPr>
          <w:rFonts w:ascii="Inter 28pt" w:hAnsi="Inter 28pt"/>
          <w:sz w:val="24"/>
        </w:rPr>
        <w:t>Connect</w:t>
      </w:r>
      <w:proofErr w:type="spellEnd"/>
      <w:r>
        <w:rPr>
          <w:rFonts w:ascii="Inter 28pt" w:hAnsi="Inter 28pt"/>
          <w:sz w:val="24"/>
        </w:rPr>
        <w:t xml:space="preserve"> ayuda a optimizar la rentabilidad de la empresa.</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Una de las principales ventajas de PACCAR </w:t>
      </w:r>
      <w:proofErr w:type="spellStart"/>
      <w:r>
        <w:rPr>
          <w:rFonts w:ascii="Inter 28pt" w:hAnsi="Inter 28pt"/>
          <w:sz w:val="24"/>
        </w:rPr>
        <w:t>Connect</w:t>
      </w:r>
      <w:proofErr w:type="spellEnd"/>
      <w:r>
        <w:rPr>
          <w:rFonts w:ascii="Inter 28pt" w:hAnsi="Inter 28pt"/>
          <w:sz w:val="24"/>
        </w:rPr>
        <w:t xml:space="preserve"> es que las aplicaciones logísticas existentes de terceros pueden utilizar los datos del portal en línea. Esto facilita la supervisión de todos los procesos logísticos y el rendimiento de una flota desde un ordenador, un portátil o incluso una </w:t>
      </w:r>
      <w:proofErr w:type="spellStart"/>
      <w:r>
        <w:rPr>
          <w:rFonts w:ascii="Inter 28pt" w:hAnsi="Inter 28pt"/>
          <w:sz w:val="24"/>
        </w:rPr>
        <w:t>tablet</w:t>
      </w:r>
      <w:proofErr w:type="spellEnd"/>
      <w:r>
        <w:rPr>
          <w:rFonts w:ascii="Inter 28pt" w:hAnsi="Inter 28pt"/>
          <w:sz w:val="24"/>
        </w:rPr>
        <w:t>. Entre las funciones específicas de las carretillas eléctricas se incluyen informes sobre el consumo de electricidad actual, el estado actual de la batería y la autonomía restante, que son importantes para una planificación eficiente de la ruta.</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PACCAR </w:t>
      </w:r>
      <w:proofErr w:type="spellStart"/>
      <w:r>
        <w:rPr>
          <w:rFonts w:ascii="Inter 28pt" w:hAnsi="Inter 28pt"/>
          <w:sz w:val="24"/>
        </w:rPr>
        <w:t>Connect</w:t>
      </w:r>
      <w:proofErr w:type="spellEnd"/>
      <w:r>
        <w:rPr>
          <w:rFonts w:ascii="Inter 28pt" w:hAnsi="Inter 28pt"/>
          <w:sz w:val="24"/>
        </w:rPr>
        <w:t xml:space="preserve"> también ayuda a los conductores a hacer su trabajo de forma más fácil y eficiente. Los servicios móviles de PACCAR </w:t>
      </w:r>
      <w:proofErr w:type="spellStart"/>
      <w:r>
        <w:rPr>
          <w:rFonts w:ascii="Inter 28pt" w:hAnsi="Inter 28pt"/>
          <w:sz w:val="24"/>
        </w:rPr>
        <w:t>Connect</w:t>
      </w:r>
      <w:proofErr w:type="spellEnd"/>
      <w:r>
        <w:rPr>
          <w:rFonts w:ascii="Inter 28pt" w:hAnsi="Inter 28pt"/>
          <w:sz w:val="24"/>
        </w:rPr>
        <w:t xml:space="preserve"> están vinculados al sistema de navegación del camión DAF. Esto significa que las nuevas rutas, que se establecen en la base, se pueden enviar fácilmente y directamente a DAF </w:t>
      </w:r>
      <w:proofErr w:type="spellStart"/>
      <w:r>
        <w:rPr>
          <w:rFonts w:ascii="Inter 28pt" w:hAnsi="Inter 28pt"/>
          <w:sz w:val="24"/>
        </w:rPr>
        <w:t>Truck</w:t>
      </w:r>
      <w:proofErr w:type="spellEnd"/>
      <w:r>
        <w:rPr>
          <w:rFonts w:ascii="Inter 28pt" w:hAnsi="Inter 28pt"/>
          <w:sz w:val="24"/>
        </w:rPr>
        <w:t xml:space="preserve"> </w:t>
      </w:r>
      <w:proofErr w:type="spellStart"/>
      <w:r>
        <w:rPr>
          <w:rFonts w:ascii="Inter 28pt" w:hAnsi="Inter 28pt"/>
          <w:sz w:val="24"/>
        </w:rPr>
        <w:t>Navigation</w:t>
      </w:r>
      <w:proofErr w:type="spellEnd"/>
      <w:r>
        <w:rPr>
          <w:rFonts w:ascii="Inter 28pt" w:hAnsi="Inter 28pt"/>
          <w:sz w:val="24"/>
        </w:rPr>
        <w:t>. Las estaciones de carga públicas disponibles también se pueden ver de un vistazo.</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El módulo de estado del vehículo opcional también está disponible para camiones eléctricos, lo que proporciona información sobre el estado del vehículo, incluidos </w:t>
      </w:r>
      <w:r>
        <w:rPr>
          <w:rFonts w:ascii="Inter 28pt" w:hAnsi="Inter 28pt"/>
          <w:sz w:val="24"/>
        </w:rPr>
        <w:lastRenderedPageBreak/>
        <w:t>mensajes actualizados en el panel de instrumentos y una indicación de cuándo esperar el próximo mantenimiento.</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 xml:space="preserve">Bart </w:t>
      </w:r>
      <w:proofErr w:type="spellStart"/>
      <w:r>
        <w:rPr>
          <w:rFonts w:ascii="Inter 28pt" w:hAnsi="Inter 28pt"/>
          <w:sz w:val="24"/>
        </w:rPr>
        <w:t>Bosmans</w:t>
      </w:r>
      <w:proofErr w:type="spellEnd"/>
      <w:r>
        <w:rPr>
          <w:rFonts w:ascii="Inter 28pt" w:hAnsi="Inter 28pt"/>
          <w:sz w:val="24"/>
        </w:rPr>
        <w:t xml:space="preserve">, miembro del Consejo de Administración de DAF y responsable de marketing y ventas, resume así las cosas: «DAF </w:t>
      </w:r>
      <w:proofErr w:type="spellStart"/>
      <w:r>
        <w:rPr>
          <w:rFonts w:ascii="Inter 28pt" w:hAnsi="Inter 28pt"/>
          <w:sz w:val="24"/>
        </w:rPr>
        <w:t>Transport</w:t>
      </w:r>
      <w:proofErr w:type="spellEnd"/>
      <w:r>
        <w:rPr>
          <w:rFonts w:ascii="Inter 28pt" w:hAnsi="Inter 28pt"/>
          <w:sz w:val="24"/>
        </w:rPr>
        <w:t xml:space="preserve"> </w:t>
      </w:r>
      <w:proofErr w:type="spellStart"/>
      <w:r>
        <w:rPr>
          <w:rFonts w:ascii="Inter 28pt" w:hAnsi="Inter 28pt"/>
          <w:sz w:val="24"/>
        </w:rPr>
        <w:t>Efficiency</w:t>
      </w:r>
      <w:proofErr w:type="spellEnd"/>
      <w:r>
        <w:rPr>
          <w:rFonts w:ascii="Inter 28pt" w:hAnsi="Inter 28pt"/>
          <w:sz w:val="24"/>
        </w:rPr>
        <w:t xml:space="preserve">: su rentabilidad, nuestro objetivo». «Esto también se aplica a la amplia gama de camiones y servicios que ofrecemos para ayudar a nuestros clientes en su transición energética de la mejor forma posible. Esto incluye tarifas atractivas para los contratos de reparación y mantenimiento DAF MultiSupport y la financiación de PACCAR </w:t>
      </w:r>
      <w:proofErr w:type="spellStart"/>
      <w:r>
        <w:rPr>
          <w:rFonts w:ascii="Inter 28pt" w:hAnsi="Inter 28pt"/>
          <w:sz w:val="24"/>
        </w:rPr>
        <w:t>Financial</w:t>
      </w:r>
      <w:proofErr w:type="spellEnd"/>
      <w:r>
        <w:rPr>
          <w:rFonts w:ascii="Inter 28pt" w:hAnsi="Inter 28pt"/>
          <w:sz w:val="24"/>
        </w:rPr>
        <w:t>, por citar solo algunos ejemplos.</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w:t>
      </w:r>
      <w:proofErr w:type="spellStart"/>
      <w:r>
        <w:rPr>
          <w:rFonts w:ascii="Inter 28pt" w:hAnsi="Inter 28pt"/>
          <w:sz w:val="18"/>
        </w:rPr>
        <w:t>Financial</w:t>
      </w:r>
      <w:proofErr w:type="spellEnd"/>
      <w:r>
        <w:rPr>
          <w:rFonts w:ascii="Inter 28pt" w:hAnsi="Inter 28pt"/>
          <w:sz w:val="18"/>
        </w:rPr>
        <w:t xml:space="preserve"> y servicios de entrega de recambios de primera categoría de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septiembre de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Nota para los editores</w:t>
      </w:r>
    </w:p>
    <w:p w14:paraId="0B0C1189" w14:textId="77777777" w:rsidR="00702C26" w:rsidRPr="000D7807" w:rsidRDefault="00702C26" w:rsidP="00702C26">
      <w:pPr>
        <w:rPr>
          <w:rFonts w:ascii="Inter 28pt" w:hAnsi="Inter 28pt" w:cs="Arial"/>
          <w:sz w:val="24"/>
        </w:rPr>
      </w:pPr>
      <w:r>
        <w:rPr>
          <w:rFonts w:ascii="Inter 28pt" w:hAnsi="Inter 28pt"/>
          <w:sz w:val="24"/>
        </w:rPr>
        <w:t>Para más información:</w:t>
      </w:r>
    </w:p>
    <w:p w14:paraId="1F2B35A9" w14:textId="77777777" w:rsidR="00BF4213" w:rsidRPr="00F21327" w:rsidRDefault="00BF4213" w:rsidP="00BF4213">
      <w:pPr>
        <w:rPr>
          <w:rFonts w:ascii="Inter 28pt" w:hAnsi="Inter 28pt"/>
          <w:sz w:val="24"/>
        </w:rPr>
      </w:pPr>
      <w:r w:rsidRPr="00F21327">
        <w:rPr>
          <w:rFonts w:ascii="Inter 28pt" w:hAnsi="Inter 28pt"/>
          <w:sz w:val="24"/>
        </w:rPr>
        <w:t>DAF España y Portugal</w:t>
      </w:r>
    </w:p>
    <w:p w14:paraId="03BE0FB3" w14:textId="77777777" w:rsidR="00BF4213" w:rsidRPr="00F21327" w:rsidRDefault="00BF4213" w:rsidP="00BF4213">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2771BE45" w14:textId="2567EE3C" w:rsidR="005C3F0B" w:rsidRPr="000D7807" w:rsidRDefault="005C3F0B" w:rsidP="00BF4213">
      <w:pPr>
        <w:rPr>
          <w:rFonts w:ascii="Inter 28pt" w:hAnsi="Inter 28pt"/>
          <w:sz w:val="24"/>
        </w:rPr>
      </w:pPr>
    </w:p>
    <w:sectPr w:rsidR="005C3F0B"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0AC4" w14:textId="77777777" w:rsidR="00751DDF" w:rsidRDefault="00751DDF">
      <w:r>
        <w:separator/>
      </w:r>
    </w:p>
  </w:endnote>
  <w:endnote w:type="continuationSeparator" w:id="0">
    <w:p w14:paraId="0CEA3A75" w14:textId="77777777" w:rsidR="00751DDF" w:rsidRDefault="0075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7472" w14:textId="77777777" w:rsidR="00751DDF" w:rsidRDefault="00751DDF">
      <w:r>
        <w:separator/>
      </w:r>
    </w:p>
  </w:footnote>
  <w:footnote w:type="continuationSeparator" w:id="0">
    <w:p w14:paraId="7B2EDAC0" w14:textId="77777777" w:rsidR="00751DDF" w:rsidRDefault="0075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w:t>
    </w:r>
    <w:proofErr w:type="spellStart"/>
    <w:r>
      <w:rPr>
        <w:b w:val="0"/>
      </w:rPr>
      <w:t>Press</w:t>
    </w:r>
    <w:proofErr w:type="spellEnd"/>
    <w:r>
      <w:rPr>
        <w:b w:val="0"/>
      </w:rPr>
      <w:t>/</w:t>
    </w:r>
    <w:proofErr w:type="spellStart"/>
    <w:r>
      <w:rPr>
        <w:b w:val="0"/>
      </w:rPr>
      <w:t>Presse</w:t>
    </w:r>
    <w:proofErr w:type="spellEnd"/>
    <w:r>
      <w:rPr>
        <w:b w:val="0"/>
      </w:rPr>
      <w:t>/Prensa/</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25pt;height:57pt;mso-width-percent:0;mso-height-percent:0;mso-width-percent:0;mso-height-percent:0">
                <v:imagedata r:id="rId1" o:title=""/>
              </v:shape>
              <o:OLEObject Type="Embed" ProgID="PBrush" ShapeID="_x0000_i1025" DrawAspect="Content" ObjectID="_1826190258"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66A15EDA"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352F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3ABB"/>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86C7B"/>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52AB7"/>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1DDF"/>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B4A3D"/>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425E9"/>
    <w:rsid w:val="00A50B44"/>
    <w:rsid w:val="00A54ECF"/>
    <w:rsid w:val="00A65D84"/>
    <w:rsid w:val="00A70D07"/>
    <w:rsid w:val="00A7277D"/>
    <w:rsid w:val="00A80792"/>
    <w:rsid w:val="00A83D03"/>
    <w:rsid w:val="00A87FFE"/>
    <w:rsid w:val="00A954CB"/>
    <w:rsid w:val="00A95A37"/>
    <w:rsid w:val="00AB6991"/>
    <w:rsid w:val="00AC0B92"/>
    <w:rsid w:val="00AC58F3"/>
    <w:rsid w:val="00AC61CB"/>
    <w:rsid w:val="00AC6766"/>
    <w:rsid w:val="00AD6EE9"/>
    <w:rsid w:val="00AD7847"/>
    <w:rsid w:val="00AD78E7"/>
    <w:rsid w:val="00AE2E38"/>
    <w:rsid w:val="00AF3D9B"/>
    <w:rsid w:val="00AF4B72"/>
    <w:rsid w:val="00B04A04"/>
    <w:rsid w:val="00B16083"/>
    <w:rsid w:val="00B25CBE"/>
    <w:rsid w:val="00B35DF6"/>
    <w:rsid w:val="00B531C3"/>
    <w:rsid w:val="00B70617"/>
    <w:rsid w:val="00B776CD"/>
    <w:rsid w:val="00B81790"/>
    <w:rsid w:val="00B838EF"/>
    <w:rsid w:val="00B94779"/>
    <w:rsid w:val="00BA750F"/>
    <w:rsid w:val="00BB1FA8"/>
    <w:rsid w:val="00BB756C"/>
    <w:rsid w:val="00BC0BDD"/>
    <w:rsid w:val="00BC0F18"/>
    <w:rsid w:val="00BD01AA"/>
    <w:rsid w:val="00BD4581"/>
    <w:rsid w:val="00BD5544"/>
    <w:rsid w:val="00BE1925"/>
    <w:rsid w:val="00BE5C36"/>
    <w:rsid w:val="00BF3D5C"/>
    <w:rsid w:val="00BF4213"/>
    <w:rsid w:val="00BF621A"/>
    <w:rsid w:val="00BF7110"/>
    <w:rsid w:val="00C0474A"/>
    <w:rsid w:val="00C15D3D"/>
    <w:rsid w:val="00C211C6"/>
    <w:rsid w:val="00C23A03"/>
    <w:rsid w:val="00C25503"/>
    <w:rsid w:val="00C3323E"/>
    <w:rsid w:val="00C33D9C"/>
    <w:rsid w:val="00C3604B"/>
    <w:rsid w:val="00C37940"/>
    <w:rsid w:val="00C53E8C"/>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020E1"/>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258E"/>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DE79-871B-4B53-9B6A-729CEFB87C88}">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3ABB6381-F53C-4913-AB13-C92A40AD975F}">
  <ds:schemaRefs>
    <ds:schemaRef ds:uri="http://schemas.microsoft.com/sharepoint/v3/contenttype/forms"/>
  </ds:schemaRefs>
</ds:datastoreItem>
</file>

<file path=customXml/itemProps4.xml><?xml version="1.0" encoding="utf-8"?>
<ds:datastoreItem xmlns:ds="http://schemas.openxmlformats.org/officeDocument/2006/customXml" ds:itemID="{3CA3DBA7-2FD1-4DC4-ABAE-479DE3E3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7306</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Paulien Ensink-Blatter</cp:lastModifiedBy>
  <cp:revision>6</cp:revision>
  <cp:lastPrinted>2025-08-25T08:35:00Z</cp:lastPrinted>
  <dcterms:created xsi:type="dcterms:W3CDTF">2025-08-25T15:35:00Z</dcterms:created>
  <dcterms:modified xsi:type="dcterms:W3CDTF">2025-12-02T13:18:00Z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