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19F113C" w:rsidR="00C83643" w:rsidRPr="000D7807" w:rsidRDefault="00724DFA" w:rsidP="00C83643">
      <w:pPr>
        <w:spacing w:line="276" w:lineRule="auto"/>
        <w:rPr>
          <w:rFonts w:ascii="Inter 28pt" w:hAnsi="Inter 28pt" w:cs="Arial"/>
          <w:sz w:val="24"/>
          <w:szCs w:val="24"/>
        </w:rPr>
      </w:pPr>
      <w:r>
        <w:rPr>
          <w:rFonts w:ascii="Inter 28pt" w:hAnsi="Inter 28pt"/>
          <w:sz w:val="24"/>
        </w:rPr>
        <w:t xml:space="preserve">Alles aus einer Hand: </w:t>
      </w:r>
      <w:proofErr w:type="spellStart"/>
      <w:r>
        <w:rPr>
          <w:rFonts w:ascii="Inter 28pt" w:hAnsi="Inter 28pt"/>
          <w:sz w:val="24"/>
        </w:rPr>
        <w:t>ma</w:t>
      </w:r>
      <w:r w:rsidR="00015414">
        <w:rPr>
          <w:rFonts w:ascii="Inter 28pt" w:hAnsi="Inter 28pt"/>
          <w:sz w:val="24"/>
        </w:rPr>
        <w:t>ss</w:t>
      </w:r>
      <w:r>
        <w:rPr>
          <w:rFonts w:ascii="Inter 28pt" w:hAnsi="Inter 28pt"/>
          <w:sz w:val="24"/>
        </w:rPr>
        <w:t>geschneiderte</w:t>
      </w:r>
      <w:proofErr w:type="spellEnd"/>
      <w:r>
        <w:rPr>
          <w:rFonts w:ascii="Inter 28pt" w:hAnsi="Inter 28pt"/>
          <w:sz w:val="24"/>
        </w:rPr>
        <w:t xml:space="preserve"> Beratung und ein umfangreiches Lösungsangebot</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Ihr perfekter Partner für die Energiewende</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0CF53920"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Neben einem umfangreichen Angebot an vollelektrischen Lkw bietet DAF Trucks zahlreiche Dienstleistungen, die Betreiber bei der Energiewende unterstützen. Das reicht vom Angebot spezieller Fahrerschulungen über die Bereitstellung von Ladestationen und Energiemanagementsystemen bis hin zu speziellen Dienstleistungen auf der Online-Plattform PACCAR Connect für das Fuhrparkmanagement. Zur Energiewende gehört mehr als der Kauf eines DAF XB, XD oder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Alle DAF-Partner in Europa: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Vollständig geschult und ausgestattet</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Verfügbarkeit öffentlicher Ladestationen</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Branchenführende Systeme zur genauen Fahrzeugspezifikation</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Das Verkaufstool TOPEC umfasst auch Routensimulationen und Zeitplanung</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3D-Online-Lkw-Konfigurator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43E898F7" w:rsidR="009C6652" w:rsidRPr="000D7807" w:rsidRDefault="009C6652" w:rsidP="009C6652">
      <w:pPr>
        <w:pStyle w:val="Body"/>
        <w:numPr>
          <w:ilvl w:val="1"/>
          <w:numId w:val="3"/>
        </w:numPr>
        <w:spacing w:line="360" w:lineRule="auto"/>
        <w:rPr>
          <w:rFonts w:ascii="Inter 28pt" w:hAnsi="Inter 28pt" w:cstheme="minorBidi"/>
          <w:bCs/>
          <w:sz w:val="24"/>
          <w:szCs w:val="24"/>
        </w:rPr>
      </w:pPr>
      <w:proofErr w:type="spellStart"/>
      <w:r>
        <w:rPr>
          <w:rFonts w:ascii="Inter 28pt" w:hAnsi="Inter 28pt"/>
          <w:sz w:val="24"/>
        </w:rPr>
        <w:t>Gro</w:t>
      </w:r>
      <w:r w:rsidR="00015414">
        <w:rPr>
          <w:rFonts w:ascii="Inter 28pt" w:hAnsi="Inter 28pt"/>
          <w:sz w:val="24"/>
        </w:rPr>
        <w:t>ss</w:t>
      </w:r>
      <w:r>
        <w:rPr>
          <w:rFonts w:ascii="Inter 28pt" w:hAnsi="Inter 28pt"/>
          <w:sz w:val="24"/>
        </w:rPr>
        <w:t>e</w:t>
      </w:r>
      <w:proofErr w:type="spellEnd"/>
      <w:r>
        <w:rPr>
          <w:rFonts w:ascii="Inter 28pt" w:hAnsi="Inter 28pt"/>
          <w:sz w:val="24"/>
        </w:rPr>
        <w:t xml:space="preserve"> Auswahl an PACCAR-Ladestationen von 20 bis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Beratung zu und Implementierung von Microgrids mit Batterie-Energiespeichersystemen</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Ausführliche Anweisungen für den Fahrer bei der Auslieferung</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Gutscheine für spezielle Fahrerschulungen</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Fuhrpark-Managementsystem PACCAR Connect Online</w:t>
      </w:r>
    </w:p>
    <w:p w14:paraId="0D2E09AE" w14:textId="551BF141" w:rsidR="009C6652" w:rsidRPr="000D7807" w:rsidRDefault="009C6652" w:rsidP="009C6652">
      <w:pPr>
        <w:pStyle w:val="Body"/>
        <w:numPr>
          <w:ilvl w:val="1"/>
          <w:numId w:val="3"/>
        </w:numPr>
        <w:spacing w:line="360" w:lineRule="auto"/>
        <w:rPr>
          <w:rFonts w:ascii="Inter 28pt" w:hAnsi="Inter 28pt" w:cstheme="minorBidi"/>
          <w:bCs/>
          <w:sz w:val="24"/>
          <w:szCs w:val="24"/>
        </w:rPr>
      </w:pPr>
      <w:proofErr w:type="spellStart"/>
      <w:r>
        <w:rPr>
          <w:rFonts w:ascii="Inter 28pt" w:hAnsi="Inter 28pt"/>
          <w:sz w:val="24"/>
        </w:rPr>
        <w:t>Serienmä</w:t>
      </w:r>
      <w:r w:rsidR="00015414">
        <w:rPr>
          <w:rFonts w:ascii="Inter 28pt" w:hAnsi="Inter 28pt"/>
          <w:sz w:val="24"/>
        </w:rPr>
        <w:t>ss</w:t>
      </w:r>
      <w:r>
        <w:rPr>
          <w:rFonts w:ascii="Inter 28pt" w:hAnsi="Inter 28pt"/>
          <w:sz w:val="24"/>
        </w:rPr>
        <w:t>ig</w:t>
      </w:r>
      <w:proofErr w:type="spellEnd"/>
      <w:r>
        <w:rPr>
          <w:rFonts w:ascii="Inter 28pt" w:hAnsi="Inter 28pt"/>
          <w:sz w:val="24"/>
        </w:rPr>
        <w:t xml:space="preserve"> bei jedem DAF XB, XD und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Aktueller Status von Energieversorgung und -verbrauch</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Link zur DAF Truck Navigation mit einer Übersicht der verfügbaren öffentlichen Ladestationen</w:t>
      </w:r>
    </w:p>
    <w:p w14:paraId="0D7A70E4" w14:textId="200B67D9"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Attraktive Tarife für DAF MultiSupport Reparatur- und Wartungsverträge</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Als erster europäischer Lkw-Hersteller hat DAF 2018 einen vollelektrischen Lkw auf den Markt gebracht und ein einzigartiges, umfangreiches Serviceangebot entwickelt, das Kunden beim Umstieg auf Elektrofahrzeuge bestmöglich unterstützt.</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Zunächst wurden jetzt alle DAF-Vertriebspartner in Europa offiziell zu einem DAF Electric Truck Centre ernannt. Das bedeutet, dass fachkundige Techniker und Verkäufer alle erforderlichen Schulungen erhalten haben, dass die Werkstätten vollständig für sichere und professionelle Arbeiten an elektrischen Lkw ausgerüstet sind und dass die Verfügbarkeit von Teilen geregelt ist. Zudem verfügen alle DAF-Partner über eine öffentliche Ladestation, die Kunden und andere Besucher nutzen können.</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der ideale Lkw für jeden Einsatz</w:t>
      </w:r>
      <w:r>
        <w:rPr>
          <w:rFonts w:ascii="Inter 28pt" w:hAnsi="Inter 28pt"/>
          <w:sz w:val="24"/>
        </w:rPr>
        <w:br/>
        <w:t>DAF-Partner ermitteln den am besten geeigneten Lkw für einen bestimmten Anwendungsfall mit dem TOPEC-System, das alle verfügbaren Fahrzeugkonfigurationen und Optionen umfasst. Diese Informationen werden mit den konkreten betrieblichen Anforderungen des Kunden kombiniert, sodass sich vollständige Simulationen erstellen lassen, die Aufschluss darüber geben, welche Routen optimal sind, wie und wo die Batterien am besten aufzuladen sind und wie viel Energie der Lkw verbrauchen wird. TOPEC ist daher ein wichtiges Instrument zur Bestimmung der besten Fahrzeugkonfiguration mit der höchsten Effizienz pro Kilometer. Transportunternehmer, die sich über die Möglichkeiten der Elektrofahrzeuge von DAF informieren möchten, finden entsprechende Informationen auf der DAF-Website. Alle Varianten des XB, XD und XF Electric sind vollständig in den Online-3D-Lkw-Konfigurator integriert.</w:t>
      </w:r>
    </w:p>
    <w:p w14:paraId="36C03FD0" w14:textId="51CABA0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lastRenderedPageBreak/>
        <w:t xml:space="preserve">Ladestationen und </w:t>
      </w:r>
      <w:proofErr w:type="spellStart"/>
      <w:r>
        <w:rPr>
          <w:rFonts w:ascii="Inter 28pt" w:hAnsi="Inter 28pt"/>
          <w:b/>
          <w:sz w:val="24"/>
        </w:rPr>
        <w:t>ma</w:t>
      </w:r>
      <w:r w:rsidR="00015414">
        <w:rPr>
          <w:rFonts w:ascii="Inter 28pt" w:hAnsi="Inter 28pt"/>
          <w:b/>
          <w:sz w:val="24"/>
        </w:rPr>
        <w:t>ss</w:t>
      </w:r>
      <w:r>
        <w:rPr>
          <w:rFonts w:ascii="Inter 28pt" w:hAnsi="Inter 28pt"/>
          <w:b/>
          <w:sz w:val="24"/>
        </w:rPr>
        <w:t>geschneiderte</w:t>
      </w:r>
      <w:proofErr w:type="spellEnd"/>
      <w:r>
        <w:rPr>
          <w:rFonts w:ascii="Inter 28pt" w:hAnsi="Inter 28pt"/>
          <w:b/>
          <w:sz w:val="24"/>
        </w:rPr>
        <w:t xml:space="preserve"> </w:t>
      </w:r>
      <w:proofErr w:type="spellStart"/>
      <w:r>
        <w:rPr>
          <w:rFonts w:ascii="Inter 28pt" w:hAnsi="Inter 28pt"/>
          <w:b/>
          <w:sz w:val="24"/>
        </w:rPr>
        <w:t>Microgrids</w:t>
      </w:r>
      <w:proofErr w:type="spellEnd"/>
      <w:r>
        <w:rPr>
          <w:rFonts w:ascii="Inter 28pt" w:hAnsi="Inter 28pt"/>
          <w:sz w:val="24"/>
        </w:rPr>
        <w:br/>
        <w:t>Neben exzellenten Elektrofahrzeugen bietet DAF auch eine breite Palette an Ladestationen mit Leistungen von 20 kW bis 400 kW – mit der optimalen Lösung für jede Anwendung.</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PACCAR-Ladestationen mit einer Leistung von 20 kW bis 50 kW eignen sich besonders gut für Lkw, die abends oder nachts nach ihren täglichen Fahrten aufgeladen werden. Ladesysteme mit 120 kW und 180 kW sind auf schnelle Ladevorgänge ausgelegt und damit ideal für Fuhrparks, deren Elektrofahrzeuge auf mehreren Routen oder in mehreren Schichten zum Einsatz kommen. Die leistungsstärkste Ladestation mit 400 kW kann Fahrzeuge in weniger als zwei Stunden vollständig aufladen oder sogar die Schnellladung zweier Fahrzeuge gleichzeitig übernehmen. Mobile Ladegeräte mit 24 kW bis 40 kW sind ideal für zeitlich begrenzte oder zwischenzeitliche Ladevorgänge, z. B. bei Probefahrten und Produktvorführungen.</w:t>
      </w:r>
    </w:p>
    <w:p w14:paraId="7C60B058" w14:textId="008BE8C8"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 xml:space="preserve">Auf Wunsch des Kunden kann der Service so erweitert werden, dass er Empfehlungen und sogar Unterstützung bei der Implementierung eines umfassenden „Microgrids“ mit Sonnenkollektoren, einem Batterie-Energiespeichersystem (BESS), fortschrittlichen Energiemanagementsystemen (EMS) und Schnellladestationen umfasst. PACCAR Power Solutions beginnt mit einer Bestandsaufnahme der </w:t>
      </w:r>
      <w:proofErr w:type="spellStart"/>
      <w:r>
        <w:rPr>
          <w:rFonts w:ascii="Inter 28pt" w:hAnsi="Inter 28pt"/>
          <w:sz w:val="24"/>
        </w:rPr>
        <w:t>Flottengrö</w:t>
      </w:r>
      <w:r w:rsidR="00015414">
        <w:rPr>
          <w:rFonts w:ascii="Inter 28pt" w:hAnsi="Inter 28pt"/>
          <w:sz w:val="24"/>
        </w:rPr>
        <w:t>ss</w:t>
      </w:r>
      <w:r>
        <w:rPr>
          <w:rFonts w:ascii="Inter 28pt" w:hAnsi="Inter 28pt"/>
          <w:sz w:val="24"/>
        </w:rPr>
        <w:t>e</w:t>
      </w:r>
      <w:proofErr w:type="spellEnd"/>
      <w:r>
        <w:rPr>
          <w:rFonts w:ascii="Inter 28pt" w:hAnsi="Inter 28pt"/>
          <w:sz w:val="24"/>
        </w:rPr>
        <w:t>, des Flotteneinsatzes, der Ladezeiten, des Spitzenenergiebedarfs und der Energietarife. Ein möglicher Überschuss an selbst erzeugtem Strom und die lokale Netzkapazität sind ebenfalls Teil dieser ersten Untersuchung.</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Spezielle Fahrerschulung</w:t>
      </w:r>
      <w:r>
        <w:rPr>
          <w:rFonts w:ascii="Inter 28pt" w:hAnsi="Inter 28pt"/>
          <w:b/>
          <w:sz w:val="24"/>
        </w:rPr>
        <w:br/>
      </w:r>
      <w:r>
        <w:rPr>
          <w:rFonts w:ascii="Inter 28pt" w:hAnsi="Inter 28pt"/>
          <w:sz w:val="24"/>
        </w:rPr>
        <w:t>Bei der Auslieferung eines elektrischen Lkw legt der DAF-Partner besonderen Wert auf eine umfassende Einweisung des Fahrers, damit jede Kilowattstunde Strom optimal ausgenutzt werden kann. Bei der Fahrzeugübergabe werden alle Einzelheiten des elektrischen Lkw ausführlich erklärt, wobei besonderes Augenmerk auf Starten, Fahren sowie Nutzung und Aufladung der Fahrzeugbatterien gelegt wird.</w:t>
      </w:r>
    </w:p>
    <w:p w14:paraId="4D29C2C4" w14:textId="2C61F7BE" w:rsidR="001D6315" w:rsidRPr="000D7807" w:rsidRDefault="001D6315" w:rsidP="001D6315">
      <w:pPr>
        <w:pStyle w:val="Body"/>
        <w:spacing w:before="240" w:line="360" w:lineRule="auto"/>
        <w:rPr>
          <w:rFonts w:ascii="Inter 28pt" w:hAnsi="Inter 28pt" w:cs="Arial"/>
          <w:sz w:val="24"/>
          <w:szCs w:val="24"/>
        </w:rPr>
      </w:pP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lastRenderedPageBreak/>
        <w:t>PACCAR Connect</w:t>
      </w:r>
      <w:r>
        <w:rPr>
          <w:rFonts w:ascii="Inter 28pt" w:hAnsi="Inter 28pt"/>
          <w:b/>
          <w:sz w:val="24"/>
        </w:rPr>
        <w:br/>
      </w:r>
      <w:r>
        <w:rPr>
          <w:rFonts w:ascii="Inter 28pt" w:hAnsi="Inter 28pt"/>
          <w:sz w:val="24"/>
        </w:rPr>
        <w:t>Selbstverständlich sind alle vollelektrischen Lkw von DAF auch mit der neuen Online-Plattform PACCAR Connect für das Fuhrparkmanagement verbunden, mit der die Leistung von Fahrzeug und Fahrer 24 Stunden am Tag überwacht wird. PACCAR Connect trägt dazu bei, die Rentabilität des Unternehmens zu steigern.</w:t>
      </w:r>
    </w:p>
    <w:p w14:paraId="2775C0E7" w14:textId="5702EB3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Die Möglichkeit, Daten aus dem Online-Portal in vorhandenen Logistikanwendungen von Drittanbietern zu nutzen, ist einer der </w:t>
      </w:r>
      <w:proofErr w:type="spellStart"/>
      <w:r>
        <w:rPr>
          <w:rFonts w:ascii="Inter 28pt" w:hAnsi="Inter 28pt"/>
          <w:sz w:val="24"/>
        </w:rPr>
        <w:t>grö</w:t>
      </w:r>
      <w:r w:rsidR="00015414">
        <w:rPr>
          <w:rFonts w:ascii="Inter 28pt" w:hAnsi="Inter 28pt"/>
          <w:sz w:val="24"/>
        </w:rPr>
        <w:t>ss</w:t>
      </w:r>
      <w:r>
        <w:rPr>
          <w:rFonts w:ascii="Inter 28pt" w:hAnsi="Inter 28pt"/>
          <w:sz w:val="24"/>
        </w:rPr>
        <w:t>ten</w:t>
      </w:r>
      <w:proofErr w:type="spellEnd"/>
      <w:r>
        <w:rPr>
          <w:rFonts w:ascii="Inter 28pt" w:hAnsi="Inter 28pt"/>
          <w:sz w:val="24"/>
        </w:rPr>
        <w:t xml:space="preserve"> Vorteile von PACCAR Connect. So können alle logistischen Abläufe und die Leistung einer Flotte ganz bequem von einem Computer, Laptop oder sogar Tablet aus überwacht werden. Zu den besonderen Funktionen für die elektrischen Lkw gehören Berichte zum aktuellen Stromverbrauch, dem aktuellen Batteriestatus und der verbleibenden Reichweite – Angaben, die für eine effiziente Routenplanung wichtig sind.</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unterstützt Fahrer dabei, ihre Arbeit einfacher und effizienter zu gestalten. Die mobilen Dienste von PACCAR Connect sind mit DAF Truck Navigation verbunden. Dementsprechend können neue Routen, die von der Einsatzzentrale festgelegt wurden, einfach und direkt an DAF Truck Navigation weitergeleitet werden. Verfügbare öffentliche Ladestationen sind ebenfalls auf einen Blick ersichtlich.</w:t>
      </w:r>
    </w:p>
    <w:p w14:paraId="547EF427" w14:textId="45687634"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Für elektrische Lkw ist auch das optionale Vehicle Health Module erhältlich, mit dem die Zentrale Einblick in den Zustand des Fahrzeugs erhält – </w:t>
      </w:r>
      <w:proofErr w:type="spellStart"/>
      <w:r>
        <w:rPr>
          <w:rFonts w:ascii="Inter 28pt" w:hAnsi="Inter 28pt"/>
          <w:sz w:val="24"/>
        </w:rPr>
        <w:t>einschlie</w:t>
      </w:r>
      <w:r w:rsidR="00015414">
        <w:rPr>
          <w:rFonts w:ascii="Inter 28pt" w:hAnsi="Inter 28pt"/>
          <w:sz w:val="24"/>
        </w:rPr>
        <w:t>ss</w:t>
      </w:r>
      <w:r>
        <w:rPr>
          <w:rFonts w:ascii="Inter 28pt" w:hAnsi="Inter 28pt"/>
          <w:sz w:val="24"/>
        </w:rPr>
        <w:t>lich</w:t>
      </w:r>
      <w:proofErr w:type="spellEnd"/>
      <w:r>
        <w:rPr>
          <w:rFonts w:ascii="Inter 28pt" w:hAnsi="Inter 28pt"/>
          <w:sz w:val="24"/>
        </w:rPr>
        <w:t xml:space="preserve"> aktueller Meldungen auf dem Armaturenbrett und einem Hinweis zum nächsten erwarteten Service.</w:t>
      </w:r>
    </w:p>
    <w:p w14:paraId="670C7EF1" w14:textId="47CE79D1"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„DAF Transport Efficiency – Ihre Rentabilität ist unser Ziel“, so lautet die Zusammenfassung von Bart Bosmans, Mitglied des DAF-Vorstands und verantwortlich für Marketing und Vertrieb. „Das gilt auch für unsere breite Palette an Lkw und Dienstleistungen, mit der wir unsere Kunden bei der Energiewende bestmöglich unterstützen. Dazu gehör</w:t>
      </w:r>
      <w:r w:rsidR="00A01939">
        <w:rPr>
          <w:rFonts w:ascii="Inter 28pt" w:hAnsi="Inter 28pt"/>
          <w:sz w:val="24"/>
        </w:rPr>
        <w:t xml:space="preserve">en unter anderem </w:t>
      </w:r>
      <w:r>
        <w:rPr>
          <w:rFonts w:ascii="Inter 28pt" w:hAnsi="Inter 28pt"/>
          <w:sz w:val="24"/>
        </w:rPr>
        <w:t>attraktive Tarife für DAF MultiSupport Reparatur- und Wartungsverträge</w:t>
      </w:r>
      <w:r w:rsidR="00A01939">
        <w:rPr>
          <w:rFonts w:ascii="Inter 28pt" w:hAnsi="Inter 28pt"/>
          <w:sz w:val="24"/>
        </w:rPr>
        <w:t>.</w:t>
      </w:r>
      <w:r>
        <w:rPr>
          <w:rFonts w:ascii="Inter 28pt" w:hAnsi="Inter 28pt"/>
          <w:sz w:val="24"/>
        </w:rPr>
        <w:t>“</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lastRenderedPageBreak/>
        <w:t>DAF Trucks N.V. </w:t>
      </w:r>
      <w:r>
        <w:rPr>
          <w:rFonts w:ascii="Inter 28pt" w:hAnsi="Inter 28pt"/>
          <w:sz w:val="18"/>
        </w:rPr>
        <w:t>–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MultiSupport Reparatur- und Wartungsverträgen, Finanzdienstleistungen von PACCAR Financial sowie eines erstklassigen Teile-Lieferdienstes von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September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Hinweis an die Redaktion</w:t>
      </w:r>
    </w:p>
    <w:p w14:paraId="0B0C1189" w14:textId="77777777" w:rsidR="00702C26" w:rsidRDefault="00702C26" w:rsidP="00702C26">
      <w:pPr>
        <w:rPr>
          <w:rFonts w:ascii="Inter 28pt" w:hAnsi="Inter 28pt"/>
          <w:sz w:val="24"/>
        </w:rPr>
      </w:pPr>
      <w:r>
        <w:rPr>
          <w:rFonts w:ascii="Inter 28pt" w:hAnsi="Inter 28pt"/>
          <w:sz w:val="24"/>
        </w:rPr>
        <w:t>Weitere Informationen:</w:t>
      </w:r>
    </w:p>
    <w:p w14:paraId="0BA320FF" w14:textId="77777777" w:rsidR="00854C72" w:rsidRDefault="00854C72" w:rsidP="00702C26">
      <w:pPr>
        <w:rPr>
          <w:rFonts w:ascii="Inter 28pt" w:hAnsi="Inter 28pt"/>
          <w:sz w:val="24"/>
        </w:rPr>
      </w:pPr>
    </w:p>
    <w:p w14:paraId="6317B879" w14:textId="77777777" w:rsidR="00854C72" w:rsidRDefault="00854C72" w:rsidP="00854C72">
      <w:pPr>
        <w:rPr>
          <w:rFonts w:ascii="Inter 28pt" w:hAnsi="Inter 28pt"/>
          <w:sz w:val="24"/>
        </w:rPr>
      </w:pPr>
      <w:r>
        <w:rPr>
          <w:rFonts w:ascii="Inter 28pt" w:hAnsi="Inter 28pt"/>
          <w:sz w:val="24"/>
        </w:rPr>
        <w:t>DAF Trucks (Schweiz) AG</w:t>
      </w:r>
    </w:p>
    <w:p w14:paraId="200CF8AA" w14:textId="77777777" w:rsidR="00854C72" w:rsidRPr="00854C72" w:rsidRDefault="00854C72" w:rsidP="00854C72">
      <w:pPr>
        <w:rPr>
          <w:rFonts w:ascii="Inter 28pt" w:hAnsi="Inter 28pt"/>
          <w:sz w:val="24"/>
        </w:rPr>
      </w:pPr>
      <w:r w:rsidRPr="00854C72">
        <w:rPr>
          <w:rFonts w:ascii="Inter 28pt" w:hAnsi="Inter 28pt"/>
          <w:sz w:val="24"/>
        </w:rPr>
        <w:t>DI(FH) Gerald Puffitsch, +43 2236 677 477</w:t>
      </w:r>
    </w:p>
    <w:p w14:paraId="71479B24" w14:textId="77777777" w:rsidR="00854C72" w:rsidRPr="000D7807" w:rsidRDefault="00854C72" w:rsidP="00702C26">
      <w:pPr>
        <w:rPr>
          <w:rFonts w:ascii="Inter 28pt" w:hAnsi="Inter 28pt" w:cs="Arial"/>
          <w:sz w:val="24"/>
        </w:rPr>
      </w:pPr>
    </w:p>
    <w:p w14:paraId="6909708F" w14:textId="77777777" w:rsidR="00702C26" w:rsidRPr="000D7807" w:rsidRDefault="00702C26" w:rsidP="00702C26">
      <w:pPr>
        <w:rPr>
          <w:rFonts w:ascii="Inter 28pt" w:hAnsi="Inter 28pt" w:cs="Arial"/>
          <w:sz w:val="24"/>
        </w:rPr>
      </w:pPr>
      <w:r>
        <w:rPr>
          <w:rFonts w:ascii="Inter 28pt" w:hAnsi="Inter 28pt"/>
          <w:sz w:val="24"/>
        </w:rPr>
        <w:t>DAF Trucks N.V.</w:t>
      </w:r>
    </w:p>
    <w:p w14:paraId="2A301C34" w14:textId="77777777" w:rsidR="00702C26" w:rsidRPr="00A01939" w:rsidRDefault="00702C26" w:rsidP="00702C26">
      <w:pPr>
        <w:rPr>
          <w:rFonts w:ascii="Inter 28pt" w:hAnsi="Inter 28pt" w:cs="Arial"/>
          <w:sz w:val="24"/>
          <w:lang w:val="en-US"/>
        </w:rPr>
      </w:pPr>
      <w:r w:rsidRPr="00A01939">
        <w:rPr>
          <w:rFonts w:ascii="Inter 28pt" w:hAnsi="Inter 28pt"/>
          <w:sz w:val="24"/>
          <w:lang w:val="en-US"/>
        </w:rPr>
        <w:t>Corporate Communication Department</w:t>
      </w:r>
    </w:p>
    <w:p w14:paraId="12B6D335" w14:textId="77777777" w:rsidR="00702C26" w:rsidRPr="00A01939" w:rsidRDefault="00702C26" w:rsidP="00702C26">
      <w:pPr>
        <w:rPr>
          <w:rFonts w:ascii="Inter 28pt" w:hAnsi="Inter 28pt" w:cs="Arial"/>
          <w:sz w:val="24"/>
          <w:lang w:val="en-US"/>
        </w:rPr>
      </w:pPr>
      <w:r w:rsidRPr="00A01939">
        <w:rPr>
          <w:rFonts w:ascii="Inter 28pt" w:hAnsi="Inter 28pt"/>
          <w:sz w:val="24"/>
          <w:lang w:val="en-US"/>
        </w:rPr>
        <w:t>Rutger Kerstiens, +31 (0)40 214 2874</w:t>
      </w:r>
    </w:p>
    <w:p w14:paraId="2771BE45" w14:textId="2B6874D9" w:rsidR="005C3F0B" w:rsidRPr="000D7807" w:rsidRDefault="00702C26" w:rsidP="00BE5C36">
      <w:pPr>
        <w:spacing w:line="276" w:lineRule="auto"/>
        <w:rPr>
          <w:rFonts w:ascii="Inter 28pt" w:hAnsi="Inter 28pt"/>
          <w:sz w:val="24"/>
        </w:rPr>
      </w:pPr>
      <w:hyperlink r:id="rId13" w:history="1">
        <w:r>
          <w:rPr>
            <w:rStyle w:val="Hyperlink"/>
            <w:rFonts w:ascii="Inter 28pt" w:hAnsi="Inter 28pt"/>
            <w:sz w:val="24"/>
          </w:rPr>
          <w:t>www.daf.com</w:t>
        </w:r>
      </w:hyperlink>
    </w:p>
    <w:sectPr w:rsidR="005C3F0B" w:rsidRPr="000D7807" w:rsidSect="001421EB">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E16A" w14:textId="77777777" w:rsidR="00B53B6C" w:rsidRDefault="00B53B6C" w:rsidP="00B53B6C">
    <w:pPr>
      <w:pStyle w:val="HeaderTextLeft"/>
      <w:framePr w:w="6967" w:h="1265" w:hRule="exact" w:wrap="around" w:x="624" w:y="376"/>
      <w:spacing w:before="120" w:line="420" w:lineRule="exact"/>
      <w:rPr>
        <w:b w:val="0"/>
      </w:rPr>
    </w:pPr>
  </w:p>
  <w:p w14:paraId="279C79B9" w14:textId="77777777" w:rsidR="00B53B6C" w:rsidRPr="0077358E" w:rsidRDefault="00B53B6C" w:rsidP="00B53B6C">
    <w:pPr>
      <w:pStyle w:val="HeaderTextLeft"/>
      <w:framePr w:w="6967" w:h="1265" w:hRule="exact" w:wrap="around" w:x="624" w:y="376"/>
      <w:spacing w:line="420" w:lineRule="exact"/>
      <w:rPr>
        <w:b w:val="0"/>
      </w:rPr>
    </w:pPr>
    <w:r>
      <w:rPr>
        <w:b w:val="0"/>
      </w:rPr>
      <w:t>Pressmitteilung/Communiqué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B53B6C" w14:paraId="630D9A34" w14:textId="77777777" w:rsidTr="00154DDD">
      <w:trPr>
        <w:trHeight w:val="1249"/>
      </w:trPr>
      <w:tc>
        <w:tcPr>
          <w:tcW w:w="2553" w:type="dxa"/>
        </w:tcPr>
        <w:p w14:paraId="38F67C5C" w14:textId="77777777" w:rsidR="00B53B6C" w:rsidRDefault="00B53B6C" w:rsidP="00B53B6C">
          <w:pPr>
            <w:pStyle w:val="KoptekstLogo"/>
            <w:framePr w:wrap="around"/>
            <w:rPr>
              <w:b w:val="0"/>
            </w:rPr>
          </w:pPr>
          <w:r>
            <w:object w:dxaOrig="12227" w:dyaOrig="5716" w14:anchorId="1A7D7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74192" r:id="rId2"/>
            </w:object>
          </w:r>
        </w:p>
      </w:tc>
    </w:tr>
    <w:tr w:rsidR="00B53B6C" w:rsidRPr="00C54346" w14:paraId="3CAA6434" w14:textId="77777777" w:rsidTr="00154DDD">
      <w:trPr>
        <w:trHeight w:hRule="exact" w:val="264"/>
      </w:trPr>
      <w:tc>
        <w:tcPr>
          <w:tcW w:w="2553" w:type="dxa"/>
        </w:tcPr>
        <w:p w14:paraId="1BE1B35B" w14:textId="77777777" w:rsidR="00B53B6C" w:rsidRDefault="00B53B6C" w:rsidP="00B53B6C">
          <w:pPr>
            <w:pStyle w:val="KoptekstLogoCompanyAddress"/>
            <w:framePr w:wrap="around"/>
          </w:pPr>
          <w:r>
            <w:t>Gewerbepark Mägenwil</w:t>
          </w:r>
        </w:p>
      </w:tc>
    </w:tr>
    <w:tr w:rsidR="00B53B6C" w14:paraId="0B57F2B6" w14:textId="77777777" w:rsidTr="00154DDD">
      <w:trPr>
        <w:trHeight w:hRule="exact" w:val="264"/>
      </w:trPr>
      <w:tc>
        <w:tcPr>
          <w:tcW w:w="2553" w:type="dxa"/>
        </w:tcPr>
        <w:p w14:paraId="6FD2F6EE" w14:textId="77777777" w:rsidR="00B53B6C" w:rsidRDefault="00B53B6C" w:rsidP="00B53B6C">
          <w:pPr>
            <w:pStyle w:val="KoptekstLogoCompanyAddress"/>
            <w:framePr w:wrap="around"/>
          </w:pPr>
          <w:r>
            <w:t>Hintermättlistrasse 3</w:t>
          </w:r>
        </w:p>
      </w:tc>
    </w:tr>
    <w:tr w:rsidR="00B53B6C" w14:paraId="4E9D6A20" w14:textId="77777777" w:rsidTr="00154DDD">
      <w:trPr>
        <w:trHeight w:hRule="exact" w:val="264"/>
      </w:trPr>
      <w:tc>
        <w:tcPr>
          <w:tcW w:w="2553" w:type="dxa"/>
        </w:tcPr>
        <w:p w14:paraId="4806F979" w14:textId="77777777" w:rsidR="00B53B6C" w:rsidRPr="00021AA0" w:rsidRDefault="00B53B6C" w:rsidP="00B53B6C">
          <w:pPr>
            <w:pStyle w:val="KoptekstLogoCompanyAddress"/>
            <w:framePr w:wrap="around"/>
          </w:pPr>
          <w:r>
            <w:t>5506  Mägenwil</w:t>
          </w:r>
        </w:p>
      </w:tc>
    </w:tr>
    <w:tr w:rsidR="00B53B6C" w14:paraId="1971E8C8" w14:textId="77777777" w:rsidTr="00154DDD">
      <w:trPr>
        <w:trHeight w:hRule="exact" w:val="264"/>
      </w:trPr>
      <w:tc>
        <w:tcPr>
          <w:tcW w:w="2553" w:type="dxa"/>
        </w:tcPr>
        <w:p w14:paraId="07FD3F4C" w14:textId="77777777" w:rsidR="00B53B6C" w:rsidRDefault="00B53B6C" w:rsidP="00B53B6C">
          <w:pPr>
            <w:pStyle w:val="KoptekstLogoCompanyAddress"/>
            <w:framePr w:wrap="around"/>
          </w:pPr>
        </w:p>
      </w:tc>
    </w:tr>
    <w:tr w:rsidR="00B53B6C" w14:paraId="78D49967" w14:textId="77777777" w:rsidTr="00154DDD">
      <w:trPr>
        <w:trHeight w:hRule="exact" w:val="264"/>
      </w:trPr>
      <w:tc>
        <w:tcPr>
          <w:tcW w:w="2553" w:type="dxa"/>
        </w:tcPr>
        <w:p w14:paraId="41FBED8A" w14:textId="77777777" w:rsidR="00B53B6C" w:rsidRDefault="00B53B6C" w:rsidP="00B53B6C">
          <w:pPr>
            <w:pStyle w:val="KoptekstLogoCompanyAddress"/>
            <w:framePr w:wrap="around"/>
          </w:pPr>
          <w:r>
            <w:t>Tel : +41 (0) 62 887 44 33</w:t>
          </w:r>
        </w:p>
      </w:tc>
    </w:tr>
    <w:tr w:rsidR="00B53B6C" w14:paraId="17215A9C" w14:textId="77777777" w:rsidTr="00154DDD">
      <w:trPr>
        <w:trHeight w:hRule="exact" w:val="264"/>
      </w:trPr>
      <w:tc>
        <w:tcPr>
          <w:tcW w:w="2553" w:type="dxa"/>
        </w:tcPr>
        <w:p w14:paraId="0F0DEF32" w14:textId="77777777" w:rsidR="00B53B6C" w:rsidRDefault="00B53B6C" w:rsidP="00B53B6C">
          <w:pPr>
            <w:pStyle w:val="KoptekstLogoCompanyAddress"/>
            <w:framePr w:wrap="around"/>
          </w:pPr>
          <w:r>
            <w:t xml:space="preserve">Internet: </w:t>
          </w:r>
          <w:hyperlink r:id="rId3" w:history="1">
            <w:r w:rsidRPr="007652C6">
              <w:rPr>
                <w:rStyle w:val="Hyperlink"/>
              </w:rPr>
              <w:t>www.daf.ch</w:t>
            </w:r>
          </w:hyperlink>
        </w:p>
        <w:p w14:paraId="249DFE7F" w14:textId="77777777" w:rsidR="00B53B6C" w:rsidRDefault="00B53B6C" w:rsidP="00B53B6C">
          <w:pPr>
            <w:pStyle w:val="KoptekstLogoCompanyAddress"/>
            <w:framePr w:wrap="around"/>
          </w:pPr>
        </w:p>
        <w:p w14:paraId="5C3923DA" w14:textId="77777777" w:rsidR="00B53B6C" w:rsidRDefault="00B53B6C" w:rsidP="00B53B6C">
          <w:pPr>
            <w:pStyle w:val="KoptekstLogoCompanyAddress"/>
            <w:framePr w:wrap="around"/>
          </w:pPr>
        </w:p>
      </w:tc>
    </w:tr>
    <w:tr w:rsidR="00B53B6C" w14:paraId="402F1855" w14:textId="77777777" w:rsidTr="00154DDD">
      <w:trPr>
        <w:trHeight w:hRule="exact" w:val="264"/>
      </w:trPr>
      <w:tc>
        <w:tcPr>
          <w:tcW w:w="2553" w:type="dxa"/>
        </w:tcPr>
        <w:p w14:paraId="759DC22C" w14:textId="77777777" w:rsidR="00B53B6C" w:rsidRDefault="00B53B6C" w:rsidP="00B53B6C">
          <w:pPr>
            <w:pStyle w:val="KoptekstLogoCompanyAddress"/>
            <w:framePr w:wrap="around"/>
          </w:pPr>
          <w:r>
            <w:rPr>
              <w:lang w:val="nl-NL"/>
            </w:rPr>
            <w:drawing>
              <wp:inline distT="0" distB="0" distL="0" distR="0" wp14:anchorId="4F980F77" wp14:editId="54B13BA5">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9C54294" w14:textId="77777777" w:rsidR="00B53B6C" w:rsidRDefault="00B53B6C" w:rsidP="00B53B6C">
    <w:pPr>
      <w:pStyle w:val="Koptekst"/>
    </w:pPr>
  </w:p>
  <w:p w14:paraId="62D0595B" w14:textId="77777777" w:rsidR="0077358E" w:rsidRPr="00B53B6C" w:rsidRDefault="0077358E" w:rsidP="00B53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15414"/>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D7A88"/>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C72"/>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01939"/>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53B6C"/>
    <w:rsid w:val="00B70617"/>
    <w:rsid w:val="00B776CD"/>
    <w:rsid w:val="00B81790"/>
    <w:rsid w:val="00B838EF"/>
    <w:rsid w:val="00B94779"/>
    <w:rsid w:val="00BA750F"/>
    <w:rsid w:val="00BB1FA8"/>
    <w:rsid w:val="00BB756C"/>
    <w:rsid w:val="00BC0BDD"/>
    <w:rsid w:val="00BC0F18"/>
    <w:rsid w:val="00BD4581"/>
    <w:rsid w:val="00BD5544"/>
    <w:rsid w:val="00BE1925"/>
    <w:rsid w:val="00BE1FFC"/>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4BD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B5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ch"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8DCE3-D171-47C3-A811-C30E88BF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9CD4-68C7-4E74-AE52-076A8771FCF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4048C59E-C673-4365-B804-B2EC55F8A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6595</Characters>
  <Application>Microsoft Office Word</Application>
  <DocSecurity>4</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2025-08-22T11:23:00Z</dcterms:created>
  <dcterms:modified xsi:type="dcterms:W3CDTF">2025-08-22T11:23:00Z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